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120" w:beforeAutospacing="0" w:after="0" w:afterAutospacing="0"/>
        <w:ind w:left="226"/>
        <w:jc w:val="center"/>
        <w:rPr>
          <w:b/>
          <w:sz w:val="27"/>
          <w:szCs w:val="27"/>
        </w:rPr>
      </w:pPr>
      <w:r>
        <w:rPr>
          <w:rFonts w:ascii="Arial" w:hAnsi="Arial" w:cs="Arial"/>
          <w:b/>
          <w:sz w:val="27"/>
          <w:szCs w:val="27"/>
        </w:rPr>
        <w:t>关于赴</w:t>
      </w:r>
      <w:r>
        <w:rPr>
          <w:rFonts w:hint="eastAsia" w:ascii="Arial" w:hAnsi="Arial" w:cs="Arial"/>
          <w:b/>
          <w:sz w:val="27"/>
          <w:szCs w:val="27"/>
        </w:rPr>
        <w:t>英国考文垂</w:t>
      </w:r>
      <w:r>
        <w:rPr>
          <w:rFonts w:ascii="Arial" w:hAnsi="Arial" w:cs="Arial"/>
          <w:b/>
          <w:sz w:val="27"/>
          <w:szCs w:val="27"/>
        </w:rPr>
        <w:t>大学学习的通知</w:t>
      </w:r>
    </w:p>
    <w:p>
      <w:pPr>
        <w:pStyle w:val="5"/>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beforeAutospacing="0" w:after="0" w:afterAutospacing="0" w:line="288" w:lineRule="auto"/>
        <w:ind w:left="226" w:firstLine="480" w:firstLineChars="200"/>
        <w:jc w:val="both"/>
        <w:rPr>
          <w:rFonts w:hint="eastAsia" w:ascii="宋体" w:hAnsi="宋体" w:cs="宋体"/>
          <w:color w:val="000000"/>
          <w:lang w:val="zh-CN"/>
        </w:rPr>
      </w:pPr>
    </w:p>
    <w:p>
      <w:pPr>
        <w:pStyle w:val="5"/>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beforeAutospacing="0" w:after="0" w:afterAutospacing="0" w:line="360" w:lineRule="auto"/>
        <w:ind w:firstLine="420" w:firstLineChars="200"/>
        <w:jc w:val="both"/>
        <w:rPr>
          <w:rFonts w:ascii="宋体" w:hAnsi="宋体" w:cs="宋体"/>
          <w:color w:val="000000"/>
          <w:kern w:val="2"/>
          <w:sz w:val="21"/>
          <w:szCs w:val="21"/>
        </w:rPr>
      </w:pPr>
      <w:r>
        <w:rPr>
          <w:rFonts w:hint="eastAsia" w:ascii="宋体" w:hAnsi="宋体" w:cs="宋体"/>
          <w:color w:val="000000"/>
          <w:kern w:val="2"/>
          <w:sz w:val="21"/>
          <w:szCs w:val="21"/>
          <w:lang w:val="zh-CN"/>
        </w:rPr>
        <w:t>我校是英国考文垂大学</w:t>
      </w:r>
      <w:r>
        <w:rPr>
          <w:rFonts w:hint="eastAsia" w:ascii="宋体" w:hAnsi="宋体" w:cs="宋体"/>
          <w:color w:val="000000"/>
          <w:kern w:val="2"/>
          <w:sz w:val="21"/>
          <w:szCs w:val="21"/>
        </w:rPr>
        <w:t>友好校际合作伙伴，双方经过多次交流、互访签订了校际合作协议，涵盖交换生、本科双学位(</w:t>
      </w:r>
      <w:r>
        <w:rPr>
          <w:rFonts w:ascii="宋体" w:hAnsi="宋体" w:cs="宋体"/>
          <w:color w:val="000000"/>
          <w:kern w:val="2"/>
          <w:sz w:val="21"/>
          <w:szCs w:val="21"/>
        </w:rPr>
        <w:t>2+2)</w:t>
      </w:r>
      <w:r>
        <w:rPr>
          <w:rFonts w:hint="eastAsia" w:ascii="宋体" w:hAnsi="宋体" w:cs="宋体"/>
          <w:color w:val="000000"/>
          <w:kern w:val="2"/>
          <w:sz w:val="21"/>
          <w:szCs w:val="21"/>
        </w:rPr>
        <w:t>、本硕连读(</w:t>
      </w:r>
      <w:r>
        <w:rPr>
          <w:rFonts w:ascii="宋体" w:hAnsi="宋体" w:cs="宋体"/>
          <w:color w:val="000000"/>
          <w:kern w:val="2"/>
          <w:sz w:val="21"/>
          <w:szCs w:val="21"/>
        </w:rPr>
        <w:t>4+1)</w:t>
      </w:r>
      <w:r>
        <w:rPr>
          <w:rFonts w:hint="eastAsia" w:ascii="宋体" w:hAnsi="宋体" w:cs="宋体"/>
          <w:color w:val="000000"/>
          <w:kern w:val="2"/>
          <w:sz w:val="21"/>
          <w:szCs w:val="21"/>
        </w:rPr>
        <w:t>等领域的全面合作。我校现选派本科在读学生参与该项目，赴英国考文垂大学修读对方的专业课程，我校承认学生所修读的课程及其学分。</w:t>
      </w:r>
    </w:p>
    <w:p>
      <w:pPr>
        <w:pStyle w:val="5"/>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beforeAutospacing="0" w:after="0" w:afterAutospacing="0" w:line="360" w:lineRule="auto"/>
        <w:jc w:val="both"/>
        <w:rPr>
          <w:rFonts w:hint="eastAsia" w:ascii="宋体" w:hAnsi="宋体" w:cs="宋体"/>
          <w:color w:val="000000"/>
          <w:kern w:val="2"/>
          <w:sz w:val="21"/>
          <w:szCs w:val="21"/>
        </w:rPr>
      </w:pPr>
    </w:p>
    <w:p>
      <w:pPr>
        <w:pStyle w:val="11"/>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spacing w:line="360" w:lineRule="auto"/>
        <w:jc w:val="both"/>
        <w:rPr>
          <w:rFonts w:hint="eastAsia" w:ascii="宋体" w:hAnsi="宋体" w:eastAsia="宋体" w:cs="宋体"/>
          <w:b/>
          <w:sz w:val="21"/>
          <w:szCs w:val="21"/>
          <w:shd w:val="clear" w:color="auto" w:fill="FFFFFF"/>
          <w:lang w:eastAsia="zh-CN"/>
        </w:rPr>
      </w:pPr>
      <w:r>
        <w:rPr>
          <w:rFonts w:hint="eastAsia" w:ascii="宋体" w:hAnsi="宋体" w:eastAsia="宋体" w:cs="宋体"/>
          <w:b/>
          <w:sz w:val="21"/>
          <w:szCs w:val="21"/>
          <w:shd w:val="clear" w:color="auto" w:fill="FFFFFF"/>
        </w:rPr>
        <w:t>一、</w:t>
      </w:r>
      <w:r>
        <w:rPr>
          <w:rFonts w:hint="eastAsia" w:ascii="宋体" w:hAnsi="宋体" w:eastAsia="宋体" w:cs="宋体"/>
          <w:b/>
          <w:sz w:val="21"/>
          <w:szCs w:val="21"/>
          <w:shd w:val="clear" w:color="auto" w:fill="FFFFFF"/>
          <w:lang w:eastAsia="zh-CN"/>
        </w:rPr>
        <w:t>英国考文垂介绍</w:t>
      </w:r>
    </w:p>
    <w:p>
      <w:pPr>
        <w:pStyle w:val="11"/>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spacing w:line="360" w:lineRule="auto"/>
        <w:ind w:firstLine="440" w:firstLineChars="200"/>
        <w:jc w:val="both"/>
        <w:rPr>
          <w:rFonts w:ascii="宋体" w:hAnsi="宋体" w:eastAsia="宋体" w:cs="宋体"/>
          <w:lang w:eastAsia="zh-CN"/>
        </w:rPr>
      </w:pPr>
      <w:bookmarkStart w:id="0" w:name="_GoBack"/>
      <w:bookmarkEnd w:id="0"/>
      <w:r>
        <w:rPr>
          <w:rFonts w:hint="eastAsia" w:ascii="宋体" w:hAnsi="宋体" w:eastAsia="宋体" w:cs="宋体"/>
        </w:rPr>
        <w:t>英国的自然、文化和历史资源独特而富有灵性。英国不仅拥有诸如大本钟等地表建筑，更有绚丽多彩的大片自然风光，和优雅的历史风貌。英国是一个国际化程度极高的国家，</w:t>
      </w:r>
      <w:r>
        <w:rPr>
          <w:rFonts w:hint="eastAsia" w:ascii="宋体" w:hAnsi="宋体" w:eastAsia="宋体" w:cs="宋体"/>
          <w:lang w:eastAsia="zh-CN"/>
        </w:rPr>
        <w:t xml:space="preserve"> 考文垂也是一座国际化的城市，</w:t>
      </w:r>
      <w:r>
        <w:rPr>
          <w:rFonts w:hint="eastAsia" w:ascii="宋体" w:hAnsi="宋体" w:eastAsia="宋体" w:cs="宋体"/>
        </w:rPr>
        <w:t>来自</w:t>
      </w:r>
      <w:r>
        <w:t xml:space="preserve"> 130 </w:t>
      </w:r>
      <w:r>
        <w:rPr>
          <w:rFonts w:hint="eastAsia" w:ascii="宋体" w:hAnsi="宋体" w:eastAsia="宋体" w:cs="宋体"/>
        </w:rPr>
        <w:t>多个国家和地区的</w:t>
      </w:r>
      <w:r>
        <w:t xml:space="preserve"> 13,000 </w:t>
      </w:r>
      <w:r>
        <w:rPr>
          <w:rFonts w:hint="eastAsia" w:ascii="宋体" w:hAnsi="宋体" w:eastAsia="宋体" w:cs="宋体"/>
        </w:rPr>
        <w:t>多名国际学生在考文垂大学就读。</w:t>
      </w:r>
      <w:r>
        <w:rPr>
          <w:rFonts w:hint="eastAsia" w:ascii="宋体" w:hAnsi="宋体" w:eastAsia="宋体" w:cs="宋体"/>
          <w:lang w:eastAsia="zh-CN"/>
        </w:rPr>
        <w:t xml:space="preserve"> </w:t>
      </w:r>
    </w:p>
    <w:p>
      <w:pPr>
        <w:pStyle w:val="11"/>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spacing w:line="360" w:lineRule="auto"/>
        <w:jc w:val="center"/>
        <w:rPr>
          <w:rFonts w:ascii="宋体" w:hAnsi="宋体" w:eastAsia="宋体" w:cs="宋体"/>
          <w:lang w:val="en-US" w:eastAsia="zh-CN"/>
        </w:rPr>
      </w:pPr>
      <w:r>
        <w:rPr>
          <w:rFonts w:ascii="宋体" w:hAnsi="宋体" w:eastAsia="宋体" w:cs="宋体"/>
          <w:lang w:val="en-US" w:eastAsia="zh-CN"/>
        </w:rPr>
        <w:drawing>
          <wp:inline distT="0" distB="0" distL="114300" distR="114300">
            <wp:extent cx="4197985" cy="2165350"/>
            <wp:effectExtent l="0" t="0" r="12065" b="6350"/>
            <wp:docPr id="17" name="图片占位符 1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7" name="图片占位符 16"/>
                    <pic:cNvPicPr>
                      <a:picLocks noGrp="1" noChangeAspect="1"/>
                    </pic:cNvPicPr>
                  </pic:nvPicPr>
                  <pic:blipFill>
                    <a:blip r:embed="rId4"/>
                    <a:srcRect t="20912"/>
                    <a:stretch>
                      <a:fillRect/>
                    </a:stretch>
                  </pic:blipFill>
                  <pic:spPr>
                    <a:xfrm>
                      <a:off x="0" y="0"/>
                      <a:ext cx="5274310" cy="2779395"/>
                    </a:xfrm>
                    <a:custGeom>
                      <a:avLst/>
                      <a:gdLst>
                        <a:gd name="connsiteX0" fmla="*/ 0 w 10602685"/>
                        <a:gd name="connsiteY0" fmla="*/ 0 h 5268685"/>
                        <a:gd name="connsiteX1" fmla="*/ 10602685 w 10602685"/>
                        <a:gd name="connsiteY1" fmla="*/ 0 h 5268685"/>
                        <a:gd name="connsiteX2" fmla="*/ 10602685 w 10602685"/>
                        <a:gd name="connsiteY2" fmla="*/ 5268685 h 5268685"/>
                        <a:gd name="connsiteX3" fmla="*/ 0 w 10602685"/>
                        <a:gd name="connsiteY3" fmla="*/ 5268685 h 5268685"/>
                      </a:gdLst>
                      <a:ahLst/>
                      <a:cxnLst>
                        <a:cxn ang="0">
                          <a:pos x="connsiteX0" y="connsiteY0"/>
                        </a:cxn>
                        <a:cxn ang="0">
                          <a:pos x="connsiteX1" y="connsiteY1"/>
                        </a:cxn>
                        <a:cxn ang="0">
                          <a:pos x="connsiteX2" y="connsiteY2"/>
                        </a:cxn>
                        <a:cxn ang="0">
                          <a:pos x="connsiteX3" y="connsiteY3"/>
                        </a:cxn>
                      </a:cxnLst>
                      <a:rect l="l" t="t" r="r" b="b"/>
                      <a:pathLst>
                        <a:path w="10602685" h="5268685">
                          <a:moveTo>
                            <a:pt x="0" y="0"/>
                          </a:moveTo>
                          <a:lnTo>
                            <a:pt x="10602685" y="0"/>
                          </a:lnTo>
                          <a:lnTo>
                            <a:pt x="10602685" y="5268685"/>
                          </a:lnTo>
                          <a:lnTo>
                            <a:pt x="0" y="5268685"/>
                          </a:lnTo>
                          <a:close/>
                        </a:path>
                      </a:pathLst>
                    </a:custGeom>
                    <a:noFill/>
                    <a:ln>
                      <a:noFill/>
                    </a:ln>
                    <a:effectLst/>
                  </pic:spPr>
                </pic:pic>
              </a:graphicData>
            </a:graphic>
          </wp:inline>
        </w:drawing>
      </w:r>
    </w:p>
    <w:p>
      <w:pPr>
        <w:pStyle w:val="11"/>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spacing w:line="360" w:lineRule="auto"/>
        <w:jc w:val="center"/>
        <w:rPr>
          <w:rFonts w:ascii="宋体" w:hAnsi="宋体" w:eastAsia="宋体" w:cs="宋体"/>
          <w:lang w:eastAsia="zh-CN"/>
        </w:rPr>
      </w:pPr>
      <w:r>
        <w:rPr>
          <w:rFonts w:ascii="宋体" w:hAnsi="宋体" w:eastAsia="宋体" w:cs="宋体"/>
          <w:lang w:eastAsia="zh-CN"/>
        </w:rPr>
        <w:drawing>
          <wp:inline distT="0" distB="0" distL="114300" distR="114300">
            <wp:extent cx="4187825" cy="1845945"/>
            <wp:effectExtent l="0" t="0" r="3175" b="190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4187825" cy="1845945"/>
                    </a:xfrm>
                    <a:prstGeom prst="rect">
                      <a:avLst/>
                    </a:prstGeom>
                    <a:noFill/>
                    <a:ln>
                      <a:noFill/>
                    </a:ln>
                  </pic:spPr>
                </pic:pic>
              </a:graphicData>
            </a:graphic>
          </wp:inline>
        </w:drawing>
      </w:r>
    </w:p>
    <w:p>
      <w:pPr>
        <w:spacing w:line="360" w:lineRule="auto"/>
        <w:ind w:left="420" w:leftChars="200"/>
        <w:rPr>
          <w:rFonts w:hint="eastAsia"/>
        </w:rPr>
      </w:pPr>
      <w:r>
        <w:rPr>
          <w:rFonts w:hint="eastAsia" w:ascii="宋体" w:hAnsi="宋体"/>
          <w:b/>
          <w:color w:val="000000"/>
        </w:rPr>
        <w:t>地理位置</w:t>
      </w:r>
      <w:r>
        <w:rPr>
          <w:rFonts w:ascii="宋体" w:hAnsi="宋体"/>
          <w:b/>
          <w:color w:val="000000"/>
        </w:rPr>
        <w:t>：</w:t>
      </w:r>
      <w:r>
        <w:rPr>
          <w:rFonts w:hint="eastAsia" w:ascii="宋体" w:hAnsi="宋体"/>
          <w:color w:val="000000"/>
        </w:rPr>
        <w:t>考文垂大学位于英格兰中部考文垂市中心，地理位置优越，交通便利。从考文垂市到伯明翰国际机场仅15分钟车程，距</w:t>
      </w:r>
      <w:r>
        <w:rPr>
          <w:rFonts w:hint="eastAsia" w:ascii="宋体" w:hAnsi="宋体"/>
          <w:b/>
          <w:bCs/>
          <w:color w:val="000000"/>
        </w:rPr>
        <w:t>伦敦</w:t>
      </w:r>
      <w:r>
        <w:rPr>
          <w:rFonts w:hint="eastAsia" w:ascii="宋体" w:hAnsi="宋体"/>
          <w:color w:val="000000"/>
        </w:rPr>
        <w:t>市仅</w:t>
      </w:r>
      <w:r>
        <w:rPr>
          <w:rFonts w:ascii="宋体" w:hAnsi="宋体"/>
          <w:color w:val="000000"/>
        </w:rPr>
        <w:t>1</w:t>
      </w:r>
      <w:r>
        <w:rPr>
          <w:rFonts w:hint="eastAsia" w:ascii="宋体" w:hAnsi="宋体"/>
          <w:color w:val="000000"/>
        </w:rPr>
        <w:t xml:space="preserve">小时车程。 </w:t>
      </w:r>
      <w:r>
        <w:t>考文垂市的四周被美丽的华威郡田园风光围绕，其周围有许多知名的旅游景点。如莎士比亚故居、皇家利明顿矿泉疗养地、 华威城堡、凯尼尔沃思城堡，以及占地300英亩由修道院、英式园林、自然森林和野生动物园组成的峡谷公园。</w:t>
      </w:r>
    </w:p>
    <w:p>
      <w:pPr>
        <w:spacing w:line="360" w:lineRule="auto"/>
        <w:ind w:left="420" w:leftChars="200"/>
        <w:rPr>
          <w:rFonts w:hint="eastAsia"/>
        </w:rPr>
      </w:pPr>
      <w:r>
        <w:rPr>
          <w:rFonts w:hint="eastAsia" w:ascii="宋体" w:hAnsi="宋体"/>
          <w:b/>
          <w:bCs/>
          <w:color w:val="000000"/>
        </w:rPr>
        <w:t>历史悠久：</w:t>
      </w:r>
      <w:r>
        <w:t>作为千年古城的考文垂市，在二战期间被严重破坏，如今，市区古迹寥寥可数但却仍是游人常到之处。最为著名的圣迈克大教堂，为铭记侵 略战争造成的苦难，市内保留着被炸毁的大教堂旧址，并在此竖起一个用烧焦的大教堂梁柱做成的十字架，供人凭吊。紧靠老教堂的北面， 修起了一座现代风格的新教堂，考文垂大学每年的毕业典礼就在这座著名的大教堂内隆重庄严地举行。</w:t>
      </w:r>
    </w:p>
    <w:p>
      <w:pPr>
        <w:spacing w:line="360" w:lineRule="auto"/>
        <w:ind w:left="420" w:leftChars="200"/>
        <w:rPr>
          <w:rFonts w:ascii="宋体" w:hAnsi="宋体"/>
          <w:color w:val="000000"/>
        </w:rPr>
      </w:pPr>
      <w:r>
        <w:rPr>
          <w:rFonts w:hint="eastAsia" w:ascii="宋体" w:hAnsi="宋体"/>
          <w:b/>
          <w:color w:val="000000"/>
        </w:rPr>
        <w:t>文化</w:t>
      </w:r>
      <w:r>
        <w:rPr>
          <w:rFonts w:ascii="宋体" w:hAnsi="宋体"/>
          <w:b/>
          <w:color w:val="000000"/>
        </w:rPr>
        <w:t>底蕴：</w:t>
      </w:r>
      <w:r>
        <w:rPr>
          <w:rFonts w:hint="eastAsia" w:ascii="宋体" w:hAnsi="宋体"/>
          <w:color w:val="000000"/>
        </w:rPr>
        <w:t>考文垂</w:t>
      </w:r>
      <w:r>
        <w:rPr>
          <w:rFonts w:ascii="宋体" w:hAnsi="宋体"/>
          <w:color w:val="000000"/>
        </w:rPr>
        <w:t>于</w:t>
      </w:r>
      <w:r>
        <w:rPr>
          <w:rFonts w:hint="eastAsia" w:ascii="宋体" w:hAnsi="宋体"/>
          <w:color w:val="000000"/>
        </w:rPr>
        <w:t>2017年</w:t>
      </w:r>
      <w:r>
        <w:rPr>
          <w:rFonts w:ascii="宋体" w:hAnsi="宋体"/>
          <w:color w:val="000000"/>
        </w:rPr>
        <w:t>获</w:t>
      </w:r>
      <w:r>
        <w:rPr>
          <w:rFonts w:hint="eastAsia" w:ascii="宋体" w:hAnsi="宋体"/>
          <w:color w:val="000000"/>
        </w:rPr>
        <w:t>得</w:t>
      </w:r>
      <w:r>
        <w:rPr>
          <w:rFonts w:ascii="宋体" w:hAnsi="宋体"/>
          <w:color w:val="000000"/>
        </w:rPr>
        <w:t>“</w:t>
      </w:r>
      <w:r>
        <w:rPr>
          <w:rFonts w:ascii="宋体" w:hAnsi="宋体"/>
          <w:b/>
          <w:bCs/>
          <w:i/>
          <w:iCs/>
          <w:color w:val="00B0F0"/>
        </w:rPr>
        <w:t>2021</w:t>
      </w:r>
      <w:r>
        <w:rPr>
          <w:rFonts w:hint="eastAsia" w:ascii="宋体" w:hAnsi="宋体"/>
          <w:b/>
          <w:bCs/>
          <w:i/>
          <w:iCs/>
          <w:color w:val="00B0F0"/>
        </w:rPr>
        <w:t>英国</w:t>
      </w:r>
      <w:r>
        <w:rPr>
          <w:rFonts w:ascii="宋体" w:hAnsi="宋体"/>
          <w:b/>
          <w:bCs/>
          <w:i/>
          <w:iCs/>
          <w:color w:val="00B0F0"/>
        </w:rPr>
        <w:t>文化之城</w:t>
      </w:r>
      <w:r>
        <w:rPr>
          <w:rFonts w:ascii="宋体" w:hAnsi="宋体"/>
          <w:color w:val="000000"/>
        </w:rPr>
        <w:t>”</w:t>
      </w:r>
      <w:r>
        <w:rPr>
          <w:rFonts w:hint="eastAsia" w:ascii="宋体" w:hAnsi="宋体"/>
          <w:color w:val="000000"/>
        </w:rPr>
        <w:t>桂冠。历史上的考文垂是英国杰出的工业制造及工程中心，许多著名的汽车品牌都曾在此创业,如著名的汽车品牌路虎、捷豹（Jaguar Land Rover），伦敦出租车（Black Cab）总部都位于考文垂市。现今，二战后重建的考文垂市以其工业基础、科技创新成为英格兰心脏地带又一崛起的新星。</w:t>
      </w:r>
    </w:p>
    <w:p>
      <w:pPr>
        <w:pStyle w:val="11"/>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spacing w:line="360" w:lineRule="auto"/>
        <w:jc w:val="both"/>
        <w:rPr>
          <w:rFonts w:hint="eastAsia" w:ascii="宋体" w:hAnsi="宋体" w:eastAsia="宋体" w:cs="宋体"/>
          <w:lang w:val="en-US" w:eastAsia="zh-CN"/>
        </w:rPr>
      </w:pPr>
    </w:p>
    <w:p>
      <w:pPr>
        <w:pStyle w:val="11"/>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spacing w:line="360" w:lineRule="auto"/>
        <w:jc w:val="both"/>
        <w:rPr>
          <w:rFonts w:hint="eastAsia" w:ascii="宋体" w:hAnsi="宋体" w:eastAsia="宋体" w:cs="宋体"/>
          <w:b/>
          <w:sz w:val="21"/>
          <w:szCs w:val="21"/>
          <w:shd w:val="clear" w:color="auto" w:fill="FFFFFF"/>
        </w:rPr>
      </w:pPr>
      <w:r>
        <w:rPr>
          <w:rFonts w:hint="eastAsia" w:ascii="宋体" w:hAnsi="宋体" w:eastAsia="宋体" w:cs="宋体"/>
          <w:b/>
          <w:sz w:val="21"/>
          <w:szCs w:val="21"/>
          <w:shd w:val="clear" w:color="auto" w:fill="FFFFFF"/>
          <w:lang w:eastAsia="zh-CN"/>
        </w:rPr>
        <w:t>二、英国留学优势</w:t>
      </w:r>
    </w:p>
    <w:p>
      <w:pPr>
        <w:numPr>
          <w:ilvl w:val="0"/>
          <w:numId w:val="1"/>
        </w:numPr>
        <w:adjustRightInd w:val="0"/>
        <w:snapToGrid w:val="0"/>
        <w:spacing w:line="360" w:lineRule="auto"/>
        <w:rPr>
          <w:rFonts w:hint="eastAsia" w:ascii="宋体" w:hAnsi="宋体" w:cs="宋体"/>
          <w:i/>
          <w:iCs/>
          <w:color w:val="000000"/>
          <w:sz w:val="24"/>
        </w:rPr>
      </w:pPr>
      <w:r>
        <w:rPr>
          <w:i/>
          <w:iCs/>
          <w:sz w:val="24"/>
        </w:rPr>
        <w:t>享誉全球的创新性高质量教学</w:t>
      </w:r>
      <w:r>
        <w:rPr>
          <w:rFonts w:hint="eastAsia" w:ascii="宋体" w:hAnsi="宋体" w:cs="宋体"/>
          <w:i/>
          <w:iCs/>
          <w:color w:val="000000"/>
          <w:sz w:val="24"/>
        </w:rPr>
        <w:t>；</w:t>
      </w:r>
    </w:p>
    <w:p>
      <w:pPr>
        <w:numPr>
          <w:ilvl w:val="0"/>
          <w:numId w:val="1"/>
        </w:numPr>
        <w:adjustRightInd w:val="0"/>
        <w:snapToGrid w:val="0"/>
        <w:spacing w:line="360" w:lineRule="auto"/>
        <w:rPr>
          <w:rFonts w:hint="eastAsia" w:ascii="宋体" w:hAnsi="宋体" w:cs="宋体"/>
          <w:i/>
          <w:iCs/>
          <w:color w:val="000000"/>
          <w:sz w:val="24"/>
        </w:rPr>
      </w:pPr>
      <w:r>
        <w:rPr>
          <w:i/>
          <w:iCs/>
          <w:sz w:val="24"/>
        </w:rPr>
        <w:t>国际认可的高含金量教育文凭</w:t>
      </w:r>
      <w:r>
        <w:rPr>
          <w:rFonts w:hint="eastAsia" w:ascii="宋体" w:hAnsi="宋体" w:cs="宋体"/>
          <w:i/>
          <w:iCs/>
          <w:color w:val="000000"/>
          <w:sz w:val="24"/>
        </w:rPr>
        <w:t>；</w:t>
      </w:r>
    </w:p>
    <w:p>
      <w:pPr>
        <w:numPr>
          <w:ilvl w:val="0"/>
          <w:numId w:val="1"/>
        </w:numPr>
        <w:adjustRightInd w:val="0"/>
        <w:snapToGrid w:val="0"/>
        <w:spacing w:line="360" w:lineRule="auto"/>
        <w:rPr>
          <w:rFonts w:hint="eastAsia" w:ascii="宋体" w:hAnsi="宋体" w:cs="宋体"/>
          <w:i/>
          <w:iCs/>
          <w:color w:val="000000"/>
          <w:sz w:val="24"/>
        </w:rPr>
      </w:pPr>
      <w:r>
        <w:rPr>
          <w:i/>
          <w:iCs/>
          <w:sz w:val="24"/>
        </w:rPr>
        <w:t>产学结合培养就业能力与技</w:t>
      </w:r>
      <w:r>
        <w:rPr>
          <w:rFonts w:hint="eastAsia"/>
          <w:i/>
          <w:iCs/>
          <w:sz w:val="24"/>
        </w:rPr>
        <w:t>能，</w:t>
      </w:r>
      <w:r>
        <w:rPr>
          <w:rFonts w:hint="eastAsia" w:ascii="宋体" w:hAnsi="宋体" w:cs="宋体"/>
          <w:i/>
          <w:iCs/>
          <w:color w:val="000000"/>
          <w:sz w:val="24"/>
        </w:rPr>
        <w:t>大量的实践活动和实习机会；</w:t>
      </w:r>
    </w:p>
    <w:p>
      <w:pPr>
        <w:numPr>
          <w:ilvl w:val="0"/>
          <w:numId w:val="1"/>
        </w:numPr>
        <w:adjustRightInd w:val="0"/>
        <w:snapToGrid w:val="0"/>
        <w:spacing w:line="360" w:lineRule="auto"/>
        <w:rPr>
          <w:rFonts w:hint="eastAsia" w:ascii="宋体" w:hAnsi="宋体" w:cs="宋体"/>
          <w:i/>
          <w:iCs/>
          <w:color w:val="000000"/>
          <w:sz w:val="24"/>
        </w:rPr>
      </w:pPr>
      <w:r>
        <w:rPr>
          <w:i/>
          <w:iCs/>
          <w:sz w:val="24"/>
        </w:rPr>
        <w:t>学制短且入学方式灵活</w:t>
      </w:r>
      <w:r>
        <w:rPr>
          <w:rFonts w:hint="eastAsia"/>
          <w:i/>
          <w:iCs/>
          <w:sz w:val="24"/>
        </w:rPr>
        <w:t>，留学成本低于澳美加；</w:t>
      </w:r>
    </w:p>
    <w:p>
      <w:pPr>
        <w:numPr>
          <w:ilvl w:val="0"/>
          <w:numId w:val="1"/>
        </w:numPr>
        <w:adjustRightInd w:val="0"/>
        <w:snapToGrid w:val="0"/>
        <w:spacing w:line="360" w:lineRule="auto"/>
        <w:rPr>
          <w:rFonts w:hint="eastAsia" w:ascii="宋体" w:hAnsi="宋体" w:cs="宋体"/>
          <w:i/>
          <w:iCs/>
          <w:color w:val="000000"/>
          <w:sz w:val="24"/>
        </w:rPr>
      </w:pPr>
      <w:r>
        <w:rPr>
          <w:i/>
          <w:iCs/>
          <w:sz w:val="24"/>
        </w:rPr>
        <w:t>毕业生工作签证 （Post Study Work）回归</w:t>
      </w:r>
      <w:r>
        <w:rPr>
          <w:rFonts w:hint="eastAsia" w:ascii="宋体" w:hAnsi="宋体" w:cs="宋体"/>
          <w:i/>
          <w:iCs/>
          <w:color w:val="000000"/>
          <w:sz w:val="24"/>
        </w:rPr>
        <w:t>；</w:t>
      </w:r>
    </w:p>
    <w:p>
      <w:pPr>
        <w:numPr>
          <w:ilvl w:val="0"/>
          <w:numId w:val="1"/>
        </w:numPr>
        <w:adjustRightInd w:val="0"/>
        <w:snapToGrid w:val="0"/>
        <w:spacing w:line="360" w:lineRule="auto"/>
        <w:rPr>
          <w:rFonts w:ascii="宋体" w:hAnsi="宋体" w:cs="宋体"/>
          <w:b/>
          <w:i/>
          <w:iCs/>
          <w:sz w:val="24"/>
          <w:u w:val="single"/>
        </w:rPr>
      </w:pPr>
      <w:r>
        <w:rPr>
          <w:i/>
          <w:iCs/>
          <w:sz w:val="24"/>
        </w:rPr>
        <w:t>纯正英语发源地</w:t>
      </w:r>
      <w:r>
        <w:rPr>
          <w:rFonts w:hint="eastAsia"/>
          <w:i/>
          <w:iCs/>
          <w:sz w:val="24"/>
        </w:rPr>
        <w:t>，</w:t>
      </w:r>
      <w:r>
        <w:rPr>
          <w:i/>
          <w:iCs/>
          <w:sz w:val="24"/>
        </w:rPr>
        <w:t>英伦文化浓厚</w:t>
      </w:r>
      <w:r>
        <w:rPr>
          <w:rFonts w:hint="eastAsia" w:ascii="宋体" w:hAnsi="宋体" w:cs="宋体"/>
          <w:i/>
          <w:iCs/>
          <w:color w:val="000000"/>
          <w:sz w:val="24"/>
        </w:rPr>
        <w:t>，</w:t>
      </w:r>
      <w:r>
        <w:rPr>
          <w:i/>
          <w:iCs/>
          <w:sz w:val="24"/>
        </w:rPr>
        <w:t>国际化水平高</w:t>
      </w:r>
    </w:p>
    <w:p>
      <w:pPr>
        <w:adjustRightInd w:val="0"/>
        <w:snapToGrid w:val="0"/>
        <w:spacing w:line="360" w:lineRule="auto"/>
        <w:ind w:left="420"/>
        <w:rPr>
          <w:rFonts w:hint="eastAsia" w:ascii="宋体" w:hAnsi="宋体" w:cs="宋体"/>
          <w:b/>
          <w:szCs w:val="21"/>
          <w:u w:val="single"/>
        </w:rPr>
      </w:pPr>
    </w:p>
    <w:p>
      <w:pPr>
        <w:pStyle w:val="11"/>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spacing w:line="360" w:lineRule="auto"/>
        <w:jc w:val="both"/>
        <w:rPr>
          <w:rFonts w:hint="eastAsia" w:ascii="宋体" w:hAnsi="宋体" w:eastAsia="宋体" w:cs="宋体"/>
          <w:b/>
          <w:sz w:val="21"/>
          <w:szCs w:val="21"/>
          <w:shd w:val="clear" w:color="auto" w:fill="FFFFFF"/>
        </w:rPr>
      </w:pPr>
      <w:r>
        <w:rPr>
          <w:rFonts w:hint="eastAsia" w:ascii="宋体" w:hAnsi="宋体" w:eastAsia="宋体" w:cs="宋体"/>
          <w:b/>
          <w:sz w:val="21"/>
          <w:szCs w:val="21"/>
          <w:shd w:val="clear" w:color="auto" w:fill="FFFFFF"/>
          <w:lang w:eastAsia="zh-CN"/>
        </w:rPr>
        <w:t>三、学校简介：</w:t>
      </w:r>
      <w:r>
        <w:rPr>
          <w:rFonts w:hint="eastAsia" w:ascii="宋体" w:hAnsi="宋体" w:eastAsia="宋体" w:cs="宋体"/>
          <w:b/>
          <w:sz w:val="21"/>
          <w:szCs w:val="21"/>
          <w:shd w:val="clear" w:color="auto" w:fill="FFFFFF"/>
          <w:lang w:val="en-US" w:eastAsia="zh-CN"/>
        </w:rPr>
        <w:tab/>
      </w:r>
    </w:p>
    <w:p>
      <w:pPr>
        <w:pStyle w:val="11"/>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spacing w:line="360" w:lineRule="auto"/>
        <w:jc w:val="both"/>
        <w:rPr>
          <w:rFonts w:ascii="宋体" w:hAnsi="宋体" w:eastAsia="宋体" w:cs="宋体"/>
        </w:rPr>
      </w:pPr>
      <w:r>
        <w:rPr>
          <w:rFonts w:hint="eastAsia" w:ascii="宋体" w:hAnsi="宋体" w:eastAsia="宋体" w:cs="宋体"/>
          <w:sz w:val="21"/>
          <w:szCs w:val="21"/>
          <w:shd w:val="clear" w:color="auto" w:fill="FFFFFF"/>
          <w:lang w:val="zh-CN" w:eastAsia="zh-CN"/>
        </w:rPr>
        <w:t xml:space="preserve">   </w:t>
      </w:r>
      <w:r>
        <w:rPr>
          <w:rFonts w:hint="eastAsia" w:ascii="宋体" w:hAnsi="宋体" w:eastAsia="宋体" w:cs="宋体"/>
        </w:rPr>
        <w:t>考文垂大学建校历史可追溯至</w:t>
      </w:r>
      <w:r>
        <w:t xml:space="preserve"> 1843 </w:t>
      </w:r>
      <w:r>
        <w:rPr>
          <w:rFonts w:hint="eastAsia" w:ascii="宋体" w:hAnsi="宋体" w:eastAsia="宋体" w:cs="宋体"/>
        </w:rPr>
        <w:t>年的考文垂设计学院，距今已有</w:t>
      </w:r>
      <w:r>
        <w:t xml:space="preserve"> 177 </w:t>
      </w:r>
      <w:r>
        <w:rPr>
          <w:rFonts w:hint="eastAsia" w:ascii="宋体" w:hAnsi="宋体" w:eastAsia="宋体" w:cs="宋体"/>
        </w:rPr>
        <w:t>年历史</w:t>
      </w:r>
      <w:r>
        <w:rPr>
          <w:rFonts w:hint="eastAsia" w:ascii="宋体" w:hAnsi="宋体" w:eastAsia="宋体" w:cs="宋体"/>
          <w:sz w:val="21"/>
          <w:szCs w:val="21"/>
          <w:shd w:val="clear" w:color="auto" w:fill="FFFFFF"/>
          <w:lang w:val="en-US" w:eastAsia="zh-CN"/>
        </w:rPr>
        <w:t>。</w:t>
      </w:r>
      <w:r>
        <w:rPr>
          <w:rFonts w:hint="eastAsia" w:ascii="宋体" w:hAnsi="宋体" w:eastAsia="宋体" w:cs="宋体"/>
        </w:rPr>
        <w:t>考文垂大学在英国共有四大校区，分别为：位于考文垂市中心的考文垂主校区、位于伦敦金融城的伦敦校区、距离伦敦市中心</w:t>
      </w:r>
      <w:r>
        <w:t>9</w:t>
      </w:r>
      <w:r>
        <w:rPr>
          <w:rFonts w:hint="eastAsia" w:ascii="宋体" w:hAnsi="宋体" w:eastAsia="宋体" w:cs="宋体"/>
        </w:rPr>
        <w:t>英里的达格南校区以及位于北约克郡的斯卡伯勒校区。考文垂大学主校区下设四大学部，分别为：商务与法律学部、工程、环境与计算学部、艺术与人文学部和健康与生命科学学部。</w:t>
      </w:r>
    </w:p>
    <w:p>
      <w:pPr>
        <w:spacing w:line="360" w:lineRule="auto"/>
        <w:ind w:left="420" w:leftChars="200"/>
        <w:rPr>
          <w:rFonts w:ascii="宋体" w:hAnsi="宋体"/>
          <w:color w:val="000000"/>
        </w:rPr>
      </w:pPr>
      <w:r>
        <w:rPr>
          <w:rFonts w:hint="eastAsia" w:ascii="宋体" w:hAnsi="宋体"/>
          <w:b/>
          <w:color w:val="000000"/>
        </w:rPr>
        <w:t>荣誉与排名：</w:t>
      </w:r>
    </w:p>
    <w:p>
      <w:pPr>
        <w:pStyle w:val="12"/>
        <w:numPr>
          <w:ilvl w:val="0"/>
          <w:numId w:val="2"/>
        </w:numPr>
        <w:spacing w:line="360" w:lineRule="auto"/>
        <w:jc w:val="both"/>
        <w:rPr>
          <w:rFonts w:eastAsia="宋体" w:cs="Calibri"/>
          <w:color w:val="000000"/>
          <w:szCs w:val="24"/>
          <w:highlight w:val="yellow"/>
        </w:rPr>
      </w:pPr>
      <w:r>
        <w:rPr>
          <w:rFonts w:hint="eastAsia" w:eastAsia="宋体" w:cs="Calibri"/>
          <w:b/>
          <w:bCs/>
          <w:color w:val="000000"/>
          <w:szCs w:val="24"/>
          <w:highlight w:val="yellow"/>
        </w:rPr>
        <w:t>2021年</w:t>
      </w:r>
      <w:r>
        <w:rPr>
          <w:rFonts w:eastAsia="宋体" w:cs="Calibri"/>
          <w:b/>
          <w:bCs/>
          <w:color w:val="000000"/>
          <w:szCs w:val="24"/>
          <w:highlight w:val="yellow"/>
        </w:rPr>
        <w:t>《卫报</w:t>
      </w:r>
      <w:r>
        <w:rPr>
          <w:rFonts w:hint="eastAsia" w:eastAsia="宋体" w:cs="Calibri"/>
          <w:b/>
          <w:bCs/>
          <w:color w:val="000000"/>
          <w:szCs w:val="24"/>
          <w:highlight w:val="yellow"/>
        </w:rPr>
        <w:t>大学指南</w:t>
      </w:r>
      <w:r>
        <w:rPr>
          <w:rFonts w:eastAsia="宋体" w:cs="Calibri"/>
          <w:b/>
          <w:bCs/>
          <w:color w:val="000000"/>
          <w:szCs w:val="24"/>
          <w:highlight w:val="yellow"/>
        </w:rPr>
        <w:t>》</w:t>
      </w:r>
      <w:r>
        <w:rPr>
          <w:rFonts w:hint="eastAsia" w:eastAsia="宋体" w:cs="Calibri"/>
          <w:b/>
          <w:bCs/>
          <w:color w:val="000000"/>
          <w:szCs w:val="24"/>
          <w:highlight w:val="yellow"/>
        </w:rPr>
        <w:t>评选为 “毕业生就业前景最理想的现代大学</w:t>
      </w:r>
      <w:r>
        <w:rPr>
          <w:rFonts w:hint="eastAsia" w:eastAsia="宋体" w:cs="Calibri"/>
          <w:color w:val="000000"/>
          <w:szCs w:val="24"/>
          <w:highlight w:val="yellow"/>
        </w:rPr>
        <w:t>”</w:t>
      </w:r>
    </w:p>
    <w:p>
      <w:pPr>
        <w:pStyle w:val="12"/>
        <w:numPr>
          <w:ilvl w:val="0"/>
          <w:numId w:val="2"/>
        </w:numPr>
        <w:spacing w:line="360" w:lineRule="auto"/>
        <w:jc w:val="both"/>
        <w:rPr>
          <w:rFonts w:eastAsia="宋体" w:cs="Calibri"/>
          <w:b/>
          <w:bCs/>
          <w:color w:val="000000"/>
          <w:szCs w:val="24"/>
          <w:highlight w:val="yellow"/>
        </w:rPr>
      </w:pPr>
      <w:r>
        <w:rPr>
          <w:rFonts w:eastAsia="宋体" w:cs="Calibri"/>
          <w:b/>
          <w:bCs/>
          <w:color w:val="000000"/>
          <w:szCs w:val="24"/>
          <w:highlight w:val="yellow"/>
        </w:rPr>
        <w:t>2020年英国《卫报》大学排名位于全英第1</w:t>
      </w:r>
      <w:r>
        <w:rPr>
          <w:rFonts w:hint="eastAsia" w:eastAsia="宋体" w:cs="Calibri"/>
          <w:b/>
          <w:bCs/>
          <w:color w:val="000000"/>
          <w:szCs w:val="24"/>
          <w:highlight w:val="yellow"/>
        </w:rPr>
        <w:t>5</w:t>
      </w:r>
      <w:r>
        <w:rPr>
          <w:rFonts w:eastAsia="宋体" w:cs="Calibri"/>
          <w:b/>
          <w:bCs/>
          <w:color w:val="000000"/>
          <w:szCs w:val="24"/>
          <w:highlight w:val="yellow"/>
        </w:rPr>
        <w:t>名，连续5年稳居全英前15</w:t>
      </w:r>
    </w:p>
    <w:p>
      <w:pPr>
        <w:pStyle w:val="12"/>
        <w:numPr>
          <w:ilvl w:val="0"/>
          <w:numId w:val="2"/>
        </w:numPr>
        <w:spacing w:line="360" w:lineRule="auto"/>
        <w:jc w:val="both"/>
        <w:rPr>
          <w:rFonts w:eastAsia="宋体" w:cs="Calibri"/>
          <w:b/>
          <w:bCs/>
          <w:color w:val="000000"/>
          <w:szCs w:val="24"/>
          <w:highlight w:val="yellow"/>
        </w:rPr>
      </w:pPr>
      <w:r>
        <w:rPr>
          <w:rFonts w:eastAsia="宋体" w:cs="Calibri"/>
          <w:b/>
          <w:bCs/>
          <w:color w:val="000000"/>
          <w:szCs w:val="24"/>
          <w:highlight w:val="yellow"/>
        </w:rPr>
        <w:t>2019年英国《泰晤士报》和《星期日泰晤士优秀大学指南2019》共同评选为“年度学生体验最佳大学”第1名</w:t>
      </w:r>
    </w:p>
    <w:p>
      <w:pPr>
        <w:pStyle w:val="12"/>
        <w:widowControl w:val="0"/>
        <w:numPr>
          <w:ilvl w:val="0"/>
          <w:numId w:val="2"/>
        </w:numPr>
        <w:tabs>
          <w:tab w:val="left" w:pos="540"/>
          <w:tab w:val="left" w:pos="541"/>
        </w:tabs>
        <w:autoSpaceDE w:val="0"/>
        <w:autoSpaceDN w:val="0"/>
        <w:spacing w:before="42" w:after="0" w:line="360" w:lineRule="auto"/>
        <w:jc w:val="both"/>
        <w:rPr>
          <w:rFonts w:eastAsia="宋体" w:cs="Calibri"/>
          <w:b/>
          <w:bCs/>
          <w:color w:val="000000"/>
          <w:szCs w:val="24"/>
          <w:highlight w:val="yellow"/>
        </w:rPr>
      </w:pPr>
      <w:r>
        <w:rPr>
          <w:rFonts w:eastAsia="宋体" w:cs="Calibri"/>
          <w:b/>
          <w:bCs/>
          <w:color w:val="000000"/>
          <w:szCs w:val="24"/>
          <w:highlight w:val="yellow"/>
        </w:rPr>
        <w:t>2018年英国《泰晤士高等教育》大学排名位于欧洲前 100 强</w:t>
      </w:r>
    </w:p>
    <w:p>
      <w:pPr>
        <w:pStyle w:val="12"/>
        <w:widowControl w:val="0"/>
        <w:numPr>
          <w:ilvl w:val="0"/>
          <w:numId w:val="2"/>
        </w:numPr>
        <w:tabs>
          <w:tab w:val="left" w:pos="540"/>
          <w:tab w:val="left" w:pos="541"/>
        </w:tabs>
        <w:autoSpaceDE w:val="0"/>
        <w:autoSpaceDN w:val="0"/>
        <w:spacing w:before="42" w:after="0" w:line="360" w:lineRule="auto"/>
        <w:jc w:val="both"/>
        <w:rPr>
          <w:rFonts w:eastAsia="宋体" w:cs="Calibri"/>
          <w:b/>
          <w:bCs/>
          <w:color w:val="000000"/>
          <w:szCs w:val="24"/>
          <w:highlight w:val="yellow"/>
        </w:rPr>
      </w:pPr>
      <w:r>
        <w:rPr>
          <w:rFonts w:eastAsia="宋体" w:cs="Calibri"/>
          <w:b/>
          <w:bCs/>
          <w:color w:val="000000"/>
          <w:szCs w:val="24"/>
          <w:highlight w:val="yellow"/>
        </w:rPr>
        <w:t>2018年英国《卫报》教学质量荣获全英第 1 名、学生满意度荣获全英第3名</w:t>
      </w:r>
    </w:p>
    <w:p>
      <w:pPr>
        <w:pStyle w:val="12"/>
        <w:widowControl w:val="0"/>
        <w:numPr>
          <w:ilvl w:val="0"/>
          <w:numId w:val="2"/>
        </w:numPr>
        <w:tabs>
          <w:tab w:val="left" w:pos="540"/>
          <w:tab w:val="left" w:pos="541"/>
        </w:tabs>
        <w:autoSpaceDE w:val="0"/>
        <w:autoSpaceDN w:val="0"/>
        <w:spacing w:before="42" w:after="0" w:line="360" w:lineRule="auto"/>
        <w:jc w:val="both"/>
        <w:rPr>
          <w:rFonts w:eastAsia="宋体" w:cs="Calibri"/>
          <w:b/>
          <w:bCs/>
          <w:color w:val="000000"/>
          <w:szCs w:val="24"/>
          <w:highlight w:val="yellow"/>
        </w:rPr>
      </w:pPr>
      <w:r>
        <w:rPr>
          <w:rFonts w:cs="Calibri"/>
          <w:b/>
          <w:bCs/>
          <w:highlight w:val="yellow"/>
        </w:rPr>
        <w:t>2017年英国教学卓越框架（TEF）金</w:t>
      </w:r>
      <w:r>
        <w:rPr>
          <w:rFonts w:hint="eastAsia" w:cs="Calibri"/>
          <w:b/>
          <w:bCs/>
          <w:highlight w:val="yellow"/>
        </w:rPr>
        <w:t>奖</w:t>
      </w:r>
    </w:p>
    <w:p>
      <w:pPr>
        <w:pStyle w:val="12"/>
        <w:widowControl w:val="0"/>
        <w:tabs>
          <w:tab w:val="left" w:pos="540"/>
          <w:tab w:val="left" w:pos="541"/>
        </w:tabs>
        <w:autoSpaceDE w:val="0"/>
        <w:autoSpaceDN w:val="0"/>
        <w:spacing w:before="42" w:after="0" w:line="360" w:lineRule="auto"/>
        <w:ind w:left="900"/>
        <w:jc w:val="both"/>
        <w:rPr>
          <w:rFonts w:hint="eastAsia" w:eastAsia="宋体" w:cs="Calibri"/>
          <w:b/>
          <w:bCs/>
          <w:color w:val="000000"/>
          <w:szCs w:val="24"/>
          <w:highlight w:val="yellow"/>
        </w:rPr>
      </w:pPr>
    </w:p>
    <w:p>
      <w:pPr>
        <w:pStyle w:val="11"/>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spacing w:line="360" w:lineRule="auto"/>
        <w:jc w:val="both"/>
        <w:rPr>
          <w:rFonts w:hint="eastAsia" w:ascii="宋体" w:hAnsi="宋体" w:eastAsia="宋体" w:cs="宋体"/>
          <w:sz w:val="21"/>
          <w:szCs w:val="21"/>
          <w:shd w:val="clear" w:color="auto" w:fill="FFFFFF"/>
        </w:rPr>
      </w:pPr>
      <w:r>
        <w:rPr>
          <w:rFonts w:hint="eastAsia" w:ascii="宋体" w:hAnsi="宋体" w:eastAsia="宋体" w:cs="宋体"/>
          <w:b/>
          <w:sz w:val="21"/>
          <w:szCs w:val="21"/>
          <w:shd w:val="clear" w:color="auto" w:fill="FFFFFF"/>
          <w:lang w:eastAsia="zh-CN"/>
        </w:rPr>
        <w:t>四、项目优势：</w:t>
      </w:r>
    </w:p>
    <w:p>
      <w:pPr>
        <w:pStyle w:val="11"/>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spacing w:line="360" w:lineRule="auto"/>
        <w:jc w:val="both"/>
        <w:rPr>
          <w:rFonts w:hint="eastAsia" w:ascii="宋体" w:hAnsi="宋体" w:eastAsia="宋体" w:cs="宋体"/>
          <w:sz w:val="21"/>
          <w:szCs w:val="21"/>
          <w:shd w:val="clear" w:color="auto" w:fill="FFFFFF"/>
          <w:lang w:val="zh-CN" w:eastAsia="zh-CN"/>
        </w:rPr>
      </w:pPr>
      <w:r>
        <w:rPr>
          <w:rFonts w:hint="eastAsia" w:ascii="宋体" w:hAnsi="宋体" w:eastAsia="宋体" w:cs="宋体"/>
          <w:sz w:val="21"/>
          <w:szCs w:val="21"/>
          <w:shd w:val="clear" w:color="auto" w:fill="FFFFFF"/>
          <w:lang w:val="en-US" w:eastAsia="zh-CN"/>
        </w:rPr>
        <w:t>1、</w:t>
      </w:r>
      <w:r>
        <w:rPr>
          <w:rFonts w:hint="eastAsia" w:ascii="宋体" w:hAnsi="宋体" w:eastAsia="宋体" w:cs="宋体"/>
          <w:sz w:val="21"/>
          <w:szCs w:val="21"/>
          <w:shd w:val="clear" w:color="auto" w:fill="FFFFFF"/>
          <w:lang w:val="zh-CN" w:eastAsia="zh-CN"/>
        </w:rPr>
        <w:t>学分互认，同时获得中英两国大学文凭 —— 我校与</w:t>
      </w:r>
      <w:r>
        <w:rPr>
          <w:rFonts w:hint="eastAsia" w:ascii="宋体" w:hAnsi="宋体" w:eastAsia="宋体" w:cs="宋体"/>
          <w:sz w:val="21"/>
          <w:szCs w:val="21"/>
          <w:shd w:val="clear" w:color="auto" w:fill="FFFFFF"/>
          <w:lang w:val="en-US" w:eastAsia="zh-CN"/>
        </w:rPr>
        <w:t>英国考文垂大学</w:t>
      </w:r>
      <w:r>
        <w:rPr>
          <w:rFonts w:hint="eastAsia" w:ascii="宋体" w:hAnsi="宋体" w:eastAsia="宋体" w:cs="宋体"/>
          <w:sz w:val="21"/>
          <w:szCs w:val="21"/>
          <w:shd w:val="clear" w:color="auto" w:fill="FFFFFF"/>
          <w:lang w:val="zh-CN" w:eastAsia="zh-CN"/>
        </w:rPr>
        <w:t>签订了学分互认协议，</w:t>
      </w:r>
      <w:r>
        <w:rPr>
          <w:rFonts w:hint="eastAsia" w:ascii="宋体" w:hAnsi="宋体" w:eastAsia="宋体" w:cs="宋体"/>
          <w:sz w:val="21"/>
          <w:szCs w:val="21"/>
          <w:shd w:val="clear" w:color="auto" w:fill="FFFFFF"/>
          <w:lang w:val="en-US" w:eastAsia="zh-CN"/>
        </w:rPr>
        <w:t>赴英国考文垂大学修读</w:t>
      </w:r>
      <w:r>
        <w:rPr>
          <w:rFonts w:hint="eastAsia" w:ascii="宋体" w:hAnsi="宋体" w:eastAsia="宋体" w:cs="宋体"/>
          <w:sz w:val="21"/>
          <w:szCs w:val="21"/>
          <w:shd w:val="clear" w:color="auto" w:fill="FFFFFF"/>
          <w:lang w:val="zh-CN" w:eastAsia="zh-CN"/>
        </w:rPr>
        <w:t>相关</w:t>
      </w:r>
      <w:r>
        <w:rPr>
          <w:rFonts w:hint="eastAsia" w:ascii="宋体" w:hAnsi="宋体" w:eastAsia="宋体" w:cs="宋体"/>
          <w:sz w:val="21"/>
          <w:szCs w:val="21"/>
          <w:shd w:val="clear" w:color="auto" w:fill="FFFFFF"/>
          <w:lang w:val="en-US" w:eastAsia="zh-CN"/>
        </w:rPr>
        <w:t>专业课程</w:t>
      </w:r>
      <w:r>
        <w:rPr>
          <w:rFonts w:hint="eastAsia" w:ascii="宋体" w:hAnsi="宋体" w:eastAsia="宋体" w:cs="宋体"/>
          <w:sz w:val="21"/>
          <w:szCs w:val="21"/>
          <w:shd w:val="clear" w:color="auto" w:fill="FFFFFF"/>
          <w:lang w:val="zh-CN" w:eastAsia="zh-CN"/>
        </w:rPr>
        <w:t>的学生</w:t>
      </w:r>
      <w:r>
        <w:rPr>
          <w:rFonts w:hint="eastAsia" w:ascii="宋体" w:hAnsi="宋体" w:eastAsia="宋体" w:cs="宋体"/>
          <w:sz w:val="21"/>
          <w:szCs w:val="21"/>
          <w:shd w:val="clear" w:color="auto" w:fill="FFFFFF"/>
          <w:lang w:val="en-US" w:eastAsia="zh-CN"/>
        </w:rPr>
        <w:t>，我校承认学生所修读的课程及其学分</w:t>
      </w:r>
      <w:r>
        <w:rPr>
          <w:rFonts w:hint="eastAsia" w:ascii="宋体" w:hAnsi="宋体" w:eastAsia="宋体" w:cs="宋体"/>
          <w:sz w:val="21"/>
          <w:szCs w:val="21"/>
          <w:shd w:val="clear" w:color="auto" w:fill="FFFFFF"/>
          <w:lang w:val="zh-CN" w:eastAsia="zh-CN"/>
        </w:rPr>
        <w:t>；</w:t>
      </w:r>
      <w:r>
        <w:rPr>
          <w:rFonts w:hint="eastAsia" w:ascii="宋体" w:hAnsi="宋体" w:eastAsia="宋体" w:cs="宋体"/>
          <w:sz w:val="21"/>
          <w:szCs w:val="21"/>
          <w:shd w:val="clear" w:color="auto" w:fill="FFFFFF"/>
          <w:lang w:val="en-US" w:eastAsia="zh-CN"/>
        </w:rPr>
        <w:t>英国考文垂大学</w:t>
      </w:r>
      <w:r>
        <w:rPr>
          <w:rFonts w:hint="eastAsia" w:ascii="宋体" w:hAnsi="宋体" w:eastAsia="宋体" w:cs="宋体"/>
          <w:sz w:val="21"/>
          <w:szCs w:val="21"/>
          <w:shd w:val="clear" w:color="auto" w:fill="FFFFFF"/>
          <w:lang w:val="zh-CN" w:eastAsia="zh-CN"/>
        </w:rPr>
        <w:t>也同样承认交换生在我校所就读的学分，如学生同时修满</w:t>
      </w:r>
      <w:r>
        <w:rPr>
          <w:rFonts w:hint="eastAsia" w:ascii="宋体" w:hAnsi="宋体" w:eastAsia="宋体" w:cs="宋体"/>
          <w:sz w:val="21"/>
          <w:szCs w:val="21"/>
          <w:shd w:val="clear" w:color="auto" w:fill="FFFFFF"/>
          <w:lang w:val="en-US" w:eastAsia="zh-CN"/>
        </w:rPr>
        <w:t>英国考文垂大学</w:t>
      </w:r>
      <w:r>
        <w:rPr>
          <w:rFonts w:hint="eastAsia" w:ascii="宋体" w:hAnsi="宋体" w:eastAsia="宋体" w:cs="宋体"/>
          <w:sz w:val="21"/>
          <w:szCs w:val="21"/>
          <w:shd w:val="clear" w:color="auto" w:fill="FFFFFF"/>
          <w:lang w:val="zh-CN" w:eastAsia="zh-CN"/>
        </w:rPr>
        <w:t>所需要的学分，可以获得</w:t>
      </w:r>
      <w:r>
        <w:rPr>
          <w:rFonts w:hint="eastAsia" w:ascii="宋体" w:hAnsi="宋体" w:eastAsia="宋体" w:cs="宋体"/>
          <w:sz w:val="21"/>
          <w:szCs w:val="21"/>
          <w:shd w:val="clear" w:color="auto" w:fill="FFFFFF"/>
          <w:lang w:val="en-US" w:eastAsia="zh-CN"/>
        </w:rPr>
        <w:t>英国考文垂</w:t>
      </w:r>
      <w:r>
        <w:rPr>
          <w:rFonts w:hint="eastAsia" w:ascii="宋体" w:hAnsi="宋体" w:eastAsia="宋体" w:cs="宋体"/>
          <w:sz w:val="21"/>
          <w:szCs w:val="21"/>
          <w:shd w:val="clear" w:color="auto" w:fill="FFFFFF"/>
          <w:lang w:val="zh-CN" w:eastAsia="zh-CN"/>
        </w:rPr>
        <w:t>大学的学士学位；</w:t>
      </w:r>
    </w:p>
    <w:p>
      <w:pPr>
        <w:pStyle w:val="11"/>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spacing w:line="360" w:lineRule="auto"/>
        <w:jc w:val="both"/>
        <w:rPr>
          <w:rFonts w:hint="eastAsia"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lang w:val="en-US" w:eastAsia="zh-CN"/>
        </w:rPr>
        <w:t>2、南昌航空大学学生专享优惠：</w:t>
      </w:r>
      <w:r>
        <w:rPr>
          <w:rFonts w:hint="eastAsia" w:ascii="宋体" w:hAnsi="宋体" w:eastAsia="宋体" w:cs="宋体"/>
          <w:color w:val="333333"/>
        </w:rPr>
        <w:t>入学时一次性交清学费可减免</w:t>
      </w:r>
      <w:r>
        <w:rPr>
          <w:rFonts w:hint="eastAsia"/>
          <w:color w:val="333333"/>
        </w:rPr>
        <w:t>500</w:t>
      </w:r>
      <w:r>
        <w:rPr>
          <w:rFonts w:hint="eastAsia" w:ascii="宋体" w:hAnsi="宋体" w:eastAsia="宋体" w:cs="宋体"/>
          <w:color w:val="333333"/>
        </w:rPr>
        <w:t>英镑的学费，优秀学生还可再</w:t>
      </w:r>
      <w:r>
        <w:rPr>
          <w:rFonts w:hint="eastAsia" w:ascii="宋体" w:hAnsi="宋体" w:eastAsia="宋体" w:cs="宋体"/>
          <w:color w:val="333333"/>
          <w:lang w:eastAsia="zh-CN"/>
        </w:rPr>
        <w:t>申请</w:t>
      </w:r>
      <w:r>
        <w:rPr>
          <w:rFonts w:hint="eastAsia"/>
          <w:color w:val="333333"/>
        </w:rPr>
        <w:t>1000</w:t>
      </w:r>
      <w:r>
        <w:rPr>
          <w:rFonts w:hint="eastAsia" w:ascii="宋体" w:hAnsi="宋体" w:eastAsia="宋体" w:cs="宋体"/>
          <w:color w:val="333333"/>
        </w:rPr>
        <w:t>英镑的奖学金</w:t>
      </w:r>
      <w:r>
        <w:rPr>
          <w:rFonts w:hint="eastAsia" w:ascii="宋体" w:hAnsi="宋体" w:eastAsia="宋体" w:cs="宋体"/>
          <w:sz w:val="21"/>
          <w:szCs w:val="21"/>
          <w:shd w:val="clear" w:color="auto" w:fill="FFFFFF"/>
          <w:lang w:val="en-US" w:eastAsia="zh-CN"/>
        </w:rPr>
        <w:t>；</w:t>
      </w:r>
    </w:p>
    <w:p>
      <w:pPr>
        <w:pStyle w:val="5"/>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beforeAutospacing="0" w:after="0" w:afterAutospacing="0" w:line="360" w:lineRule="auto"/>
        <w:jc w:val="both"/>
        <w:rPr>
          <w:rFonts w:ascii="宋体" w:hAnsi="宋体" w:cs="宋体"/>
          <w:color w:val="000000"/>
          <w:sz w:val="21"/>
          <w:szCs w:val="21"/>
          <w:shd w:val="clear" w:color="auto" w:fill="FFFFFF"/>
        </w:rPr>
      </w:pPr>
      <w:r>
        <w:rPr>
          <w:rFonts w:hint="eastAsia" w:ascii="宋体" w:hAnsi="宋体" w:cs="宋体"/>
          <w:sz w:val="21"/>
          <w:szCs w:val="21"/>
          <w:shd w:val="clear" w:color="auto" w:fill="FFFFFF"/>
        </w:rPr>
        <w:t>3、</w:t>
      </w:r>
      <w:r>
        <w:rPr>
          <w:rFonts w:hint="eastAsia" w:ascii="宋体" w:hAnsi="宋体" w:cs="宋体"/>
          <w:color w:val="000000"/>
          <w:sz w:val="21"/>
          <w:szCs w:val="21"/>
          <w:shd w:val="clear" w:color="auto" w:fill="FFFFFF"/>
        </w:rPr>
        <w:t>国内支持：宿舍预定绿色通道、行前培训指导、国内学前语言课程；</w:t>
      </w:r>
    </w:p>
    <w:p>
      <w:pPr>
        <w:pStyle w:val="5"/>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beforeAutospacing="0" w:after="0" w:afterAutospacing="0" w:line="360" w:lineRule="auto"/>
        <w:jc w:val="both"/>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4、抵英后支持：接机服务、学术指导、研究生申请指导、就业指导、就业招聘会、全球领袖项目</w:t>
      </w:r>
    </w:p>
    <w:p>
      <w:pPr>
        <w:pStyle w:val="5"/>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beforeAutospacing="0" w:after="0" w:afterAutospacing="0" w:line="360" w:lineRule="auto"/>
        <w:jc w:val="both"/>
        <w:rPr>
          <w:rFonts w:hint="eastAsia" w:ascii="宋体" w:hAnsi="宋体" w:cs="宋体"/>
          <w:b/>
          <w:bCs/>
          <w:sz w:val="21"/>
          <w:szCs w:val="21"/>
        </w:rPr>
      </w:pPr>
      <w:r>
        <w:rPr>
          <w:rFonts w:hint="eastAsia" w:ascii="宋体" w:hAnsi="宋体" w:cs="宋体"/>
          <w:b/>
          <w:bCs/>
          <w:color w:val="000000"/>
          <w:sz w:val="21"/>
          <w:szCs w:val="21"/>
          <w:shd w:val="clear" w:color="auto" w:fill="FFFFFF"/>
        </w:rPr>
        <w:t>五、申请条件</w:t>
      </w:r>
    </w:p>
    <w:p>
      <w:pPr>
        <w:pStyle w:val="5"/>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beforeAutospacing="0" w:after="0" w:afterAutospacing="0" w:line="360" w:lineRule="auto"/>
        <w:ind w:left="226" w:firstLine="420" w:firstLineChars="200"/>
        <w:jc w:val="both"/>
        <w:rPr>
          <w:rFonts w:hint="eastAsia" w:ascii="宋体" w:hAnsi="宋体" w:eastAsia="宋体" w:cs="宋体"/>
          <w:color w:val="FF0000"/>
          <w:sz w:val="21"/>
          <w:szCs w:val="21"/>
          <w:lang w:val="en-US" w:eastAsia="zh-CN"/>
        </w:rPr>
      </w:pPr>
      <w:r>
        <w:rPr>
          <w:rFonts w:hint="eastAsia" w:ascii="宋体" w:hAnsi="宋体" w:cs="宋体"/>
          <w:color w:val="000000"/>
          <w:sz w:val="21"/>
          <w:szCs w:val="21"/>
          <w:shd w:val="clear" w:color="auto" w:fill="FFFFFF"/>
        </w:rPr>
        <w:t>1. 年级要求：我校</w:t>
      </w:r>
      <w:r>
        <w:rPr>
          <w:rFonts w:hint="eastAsia" w:ascii="宋体" w:hAnsi="宋体" w:cs="宋体"/>
          <w:color w:val="000000"/>
          <w:sz w:val="21"/>
          <w:szCs w:val="21"/>
          <w:lang w:val="zh-CN"/>
        </w:rPr>
        <w:t>在读</w:t>
      </w:r>
      <w:r>
        <w:rPr>
          <w:rFonts w:hint="eastAsia" w:ascii="宋体" w:hAnsi="宋体" w:cs="宋体"/>
          <w:color w:val="000000"/>
          <w:sz w:val="21"/>
          <w:szCs w:val="21"/>
          <w:shd w:val="clear" w:color="auto" w:fill="FFFFFF"/>
        </w:rPr>
        <w:t>本科生</w:t>
      </w:r>
      <w:r>
        <w:rPr>
          <w:rFonts w:hint="eastAsia" w:ascii="宋体" w:hAnsi="宋体" w:cs="宋体"/>
          <w:color w:val="FF0000"/>
          <w:sz w:val="21"/>
          <w:szCs w:val="21"/>
          <w:shd w:val="clear" w:color="auto" w:fill="FFFFFF"/>
          <w:lang w:val="en-US" w:eastAsia="zh-CN"/>
        </w:rPr>
        <w:t>（大一、大二）</w:t>
      </w:r>
    </w:p>
    <w:p>
      <w:pPr>
        <w:pStyle w:val="5"/>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beforeAutospacing="0" w:after="0" w:afterAutospacing="0" w:line="360" w:lineRule="auto"/>
        <w:ind w:left="226" w:firstLine="420" w:firstLineChars="200"/>
        <w:jc w:val="both"/>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2. 招生专业：</w:t>
      </w:r>
    </w:p>
    <w:p>
      <w:pPr>
        <w:pStyle w:val="5"/>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beforeAutospacing="0" w:after="0" w:afterAutospacing="0" w:line="360" w:lineRule="auto"/>
        <w:ind w:left="226" w:firstLine="420" w:firstLineChars="200"/>
        <w:jc w:val="both"/>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以下专业均可参加申请：</w:t>
      </w:r>
    </w:p>
    <w:p>
      <w:pPr>
        <w:pStyle w:val="5"/>
        <w:widowContro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beforeAutospacing="0" w:after="0" w:afterAutospacing="0" w:line="360" w:lineRule="auto"/>
        <w:jc w:val="both"/>
        <w:rPr>
          <w:rFonts w:ascii="宋体" w:hAnsi="宋体" w:cs="宋体"/>
          <w:color w:val="000000"/>
          <w:sz w:val="21"/>
          <w:szCs w:val="21"/>
          <w:shd w:val="clear" w:color="auto" w:fill="FFFFFF"/>
        </w:rPr>
      </w:pPr>
      <w:r>
        <w:rPr>
          <w:rFonts w:hint="eastAsia" w:ascii="宋体" w:hAnsi="宋体" w:cs="宋体"/>
          <w:b/>
          <w:bCs/>
          <w:color w:val="000000"/>
          <w:sz w:val="21"/>
          <w:szCs w:val="21"/>
          <w:shd w:val="clear" w:color="auto" w:fill="FFFFFF"/>
        </w:rPr>
        <w:t>商务与法律学部</w:t>
      </w:r>
      <w:r>
        <w:rPr>
          <w:rFonts w:hint="eastAsia" w:ascii="宋体" w:hAnsi="宋体" w:cs="宋体"/>
          <w:color w:val="000000"/>
          <w:sz w:val="21"/>
          <w:szCs w:val="21"/>
          <w:shd w:val="clear" w:color="auto" w:fill="FFFFFF"/>
        </w:rPr>
        <w:t>：国际商务、商务经济学、会计与金融（国际商务方向）、国际金融与银行、国际数字化营销、经济学、会计学、国际会展及酒店管理等</w:t>
      </w:r>
    </w:p>
    <w:p>
      <w:pPr>
        <w:pStyle w:val="5"/>
        <w:widowContro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beforeAutospacing="0" w:after="0" w:afterAutospacing="0" w:line="360" w:lineRule="auto"/>
        <w:jc w:val="both"/>
        <w:rPr>
          <w:rFonts w:ascii="宋体" w:hAnsi="宋体" w:cs="宋体"/>
          <w:color w:val="000000"/>
          <w:sz w:val="21"/>
          <w:szCs w:val="21"/>
          <w:shd w:val="clear" w:color="auto" w:fill="FFFFFF"/>
        </w:rPr>
      </w:pPr>
      <w:r>
        <w:rPr>
          <w:rFonts w:hint="eastAsia" w:ascii="宋体" w:hAnsi="宋体" w:cs="宋体"/>
          <w:b/>
          <w:bCs/>
          <w:color w:val="000000"/>
          <w:sz w:val="21"/>
          <w:szCs w:val="21"/>
          <w:shd w:val="clear" w:color="auto" w:fill="FFFFFF"/>
        </w:rPr>
        <w:t>工程、环境与计算机学部</w:t>
      </w:r>
      <w:r>
        <w:rPr>
          <w:rFonts w:hint="eastAsia" w:ascii="宋体" w:hAnsi="宋体" w:cs="宋体"/>
          <w:color w:val="000000"/>
          <w:sz w:val="21"/>
          <w:szCs w:val="21"/>
          <w:shd w:val="clear" w:color="auto" w:fill="FFFFFF"/>
        </w:rPr>
        <w:t>：建筑和城乡规划、机械工程、汽车工程、航空管理、航空系统工程等</w:t>
      </w:r>
    </w:p>
    <w:p>
      <w:pPr>
        <w:pStyle w:val="5"/>
        <w:widowContro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beforeAutospacing="0" w:after="0" w:afterAutospacing="0" w:line="360" w:lineRule="auto"/>
        <w:jc w:val="both"/>
        <w:rPr>
          <w:rFonts w:ascii="宋体" w:hAnsi="宋体" w:cs="宋体"/>
          <w:color w:val="000000"/>
          <w:sz w:val="21"/>
          <w:szCs w:val="21"/>
          <w:shd w:val="clear" w:color="auto" w:fill="FFFFFF"/>
        </w:rPr>
      </w:pPr>
      <w:r>
        <w:rPr>
          <w:rFonts w:hint="eastAsia" w:ascii="宋体" w:hAnsi="宋体" w:cs="宋体"/>
          <w:b/>
          <w:bCs/>
          <w:color w:val="000000"/>
          <w:sz w:val="21"/>
          <w:szCs w:val="21"/>
          <w:shd w:val="clear" w:color="auto" w:fill="FFFFFF"/>
        </w:rPr>
        <w:t>艺术与人文学部</w:t>
      </w:r>
      <w:r>
        <w:rPr>
          <w:rFonts w:hint="eastAsia" w:ascii="宋体" w:hAnsi="宋体" w:cs="宋体"/>
          <w:color w:val="000000"/>
          <w:sz w:val="21"/>
          <w:szCs w:val="21"/>
          <w:shd w:val="clear" w:color="auto" w:fill="FFFFFF"/>
        </w:rPr>
        <w:t>：电影制作与摄影、插图与动画、新闻学、汽车与交通工具设计、国际关系学等</w:t>
      </w:r>
    </w:p>
    <w:p>
      <w:pPr>
        <w:pStyle w:val="5"/>
        <w:widowContro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beforeAutospacing="0" w:after="0" w:afterAutospacing="0" w:line="360" w:lineRule="auto"/>
        <w:jc w:val="both"/>
        <w:rPr>
          <w:rFonts w:ascii="宋体" w:hAnsi="宋体" w:cs="宋体"/>
          <w:color w:val="000000"/>
          <w:sz w:val="21"/>
          <w:szCs w:val="21"/>
          <w:shd w:val="clear" w:color="auto" w:fill="FFFFFF"/>
        </w:rPr>
      </w:pPr>
      <w:r>
        <w:rPr>
          <w:rFonts w:hint="eastAsia" w:ascii="宋体" w:hAnsi="宋体" w:cs="宋体"/>
          <w:b/>
          <w:bCs/>
          <w:color w:val="000000"/>
          <w:sz w:val="21"/>
          <w:szCs w:val="21"/>
          <w:shd w:val="clear" w:color="auto" w:fill="FFFFFF"/>
        </w:rPr>
        <w:t>健康与生命科学学部：</w:t>
      </w:r>
      <w:r>
        <w:rPr>
          <w:rFonts w:hint="eastAsia" w:ascii="宋体" w:hAnsi="宋体" w:cs="宋体"/>
          <w:color w:val="000000"/>
          <w:sz w:val="21"/>
          <w:szCs w:val="21"/>
          <w:shd w:val="clear" w:color="auto" w:fill="FFFFFF"/>
        </w:rPr>
        <w:t>护理与助产、生物医学、全球医疗保健管理与专业经验、商业与组织心理学等</w:t>
      </w:r>
    </w:p>
    <w:p>
      <w:pPr>
        <w:pStyle w:val="5"/>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beforeAutospacing="0" w:after="0" w:afterAutospacing="0" w:line="360" w:lineRule="auto"/>
        <w:ind w:left="646"/>
        <w:jc w:val="both"/>
        <w:rPr>
          <w:rFonts w:hint="eastAsia" w:ascii="宋体" w:hAnsi="宋体" w:cs="宋体"/>
          <w:color w:val="000000"/>
          <w:sz w:val="21"/>
          <w:szCs w:val="21"/>
          <w:shd w:val="clear" w:color="auto" w:fill="FFFFFF"/>
        </w:rPr>
      </w:pPr>
      <w:r>
        <w:rPr>
          <w:rFonts w:hint="eastAsia" w:ascii="宋体" w:hAnsi="宋体" w:cs="宋体"/>
          <w:b/>
          <w:bCs/>
          <w:color w:val="000000"/>
          <w:sz w:val="21"/>
          <w:szCs w:val="21"/>
          <w:shd w:val="clear" w:color="auto" w:fill="FFFFFF"/>
        </w:rPr>
        <w:t>*更多可申请专业详见英国考文垂大学宣传手册或咨询国际处老师</w:t>
      </w:r>
    </w:p>
    <w:p>
      <w:pPr>
        <w:pStyle w:val="5"/>
        <w:widowContro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beforeAutospacing="0" w:after="0" w:afterAutospacing="0" w:line="360" w:lineRule="auto"/>
        <w:ind w:left="226" w:firstLine="420" w:firstLineChars="200"/>
        <w:jc w:val="both"/>
        <w:rPr>
          <w:rFonts w:hint="eastAsia" w:ascii="宋体" w:hAnsi="宋体" w:cs="宋体"/>
          <w:bCs/>
          <w:color w:val="000000"/>
          <w:sz w:val="21"/>
          <w:szCs w:val="21"/>
          <w:shd w:val="clear" w:color="auto" w:fill="FFFFFF"/>
        </w:rPr>
      </w:pPr>
      <w:r>
        <w:rPr>
          <w:rStyle w:val="9"/>
          <w:rFonts w:hint="eastAsia" w:ascii="宋体" w:hAnsi="宋体" w:cs="宋体"/>
          <w:b w:val="0"/>
          <w:bCs/>
          <w:color w:val="000000"/>
          <w:sz w:val="21"/>
          <w:szCs w:val="21"/>
          <w:shd w:val="clear" w:color="auto" w:fill="FFFFFF"/>
        </w:rPr>
        <w:t xml:space="preserve"> 学术要求：</w:t>
      </w:r>
      <w:r>
        <w:rPr>
          <w:rFonts w:ascii="宋体" w:hAnsi="宋体"/>
          <w:sz w:val="21"/>
          <w:szCs w:val="21"/>
        </w:rPr>
        <w:t>在校所有已修专业课平均成绩 70 分以上</w:t>
      </w:r>
      <w:r>
        <w:rPr>
          <w:rFonts w:hint="eastAsia" w:ascii="宋体" w:hAnsi="宋体"/>
          <w:sz w:val="21"/>
          <w:szCs w:val="21"/>
        </w:rPr>
        <w:t>且无挂科，无不良记录</w:t>
      </w:r>
    </w:p>
    <w:p>
      <w:pPr>
        <w:pStyle w:val="5"/>
        <w:widowContro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beforeAutospacing="0" w:after="0" w:afterAutospacing="0" w:line="360" w:lineRule="auto"/>
        <w:ind w:left="226" w:firstLine="420" w:firstLineChars="200"/>
        <w:jc w:val="both"/>
        <w:rPr>
          <w:rFonts w:ascii="宋体" w:hAnsi="宋体" w:cs="宋体"/>
          <w:bCs/>
          <w:color w:val="FF0000"/>
          <w:sz w:val="21"/>
          <w:szCs w:val="21"/>
          <w:shd w:val="clear" w:color="auto" w:fill="FFFFFF"/>
        </w:rPr>
      </w:pPr>
      <w:r>
        <w:rPr>
          <w:rFonts w:hint="eastAsia" w:ascii="宋体" w:hAnsi="宋体" w:cs="宋体"/>
          <w:bCs/>
          <w:color w:val="auto"/>
          <w:sz w:val="21"/>
          <w:szCs w:val="21"/>
          <w:shd w:val="clear" w:color="auto" w:fill="FFFFFF"/>
        </w:rPr>
        <w:t xml:space="preserve"> 语言要求：</w:t>
      </w:r>
      <w:r>
        <w:rPr>
          <w:rFonts w:hint="eastAsia" w:ascii="宋体" w:hAnsi="宋体" w:cs="宋体"/>
          <w:bCs/>
          <w:color w:val="FF0000"/>
          <w:sz w:val="21"/>
          <w:szCs w:val="21"/>
          <w:shd w:val="clear" w:color="auto" w:fill="FFFFFF"/>
          <w:lang w:eastAsia="zh-CN"/>
        </w:rPr>
        <w:t>雅思成绩</w:t>
      </w:r>
      <w:r>
        <w:rPr>
          <w:rFonts w:hint="eastAsia" w:ascii="宋体" w:hAnsi="宋体" w:cs="宋体"/>
          <w:bCs/>
          <w:color w:val="auto"/>
          <w:sz w:val="21"/>
          <w:szCs w:val="21"/>
          <w:shd w:val="clear" w:color="auto" w:fill="FFFFFF"/>
          <w:lang w:eastAsia="zh-CN"/>
        </w:rPr>
        <w:t>视具体专业而定。　</w:t>
      </w:r>
      <w:r>
        <w:rPr>
          <w:rFonts w:hint="eastAsia" w:ascii="宋体" w:hAnsi="宋体" w:cs="宋体"/>
          <w:bCs/>
          <w:color w:val="auto"/>
          <w:sz w:val="21"/>
          <w:szCs w:val="21"/>
          <w:shd w:val="clear" w:color="auto" w:fill="FFFFFF"/>
        </w:rPr>
        <w:t>考文垂大学提供内部语言测试机会（免费参加，通过即可直读主课课程）</w:t>
      </w:r>
      <w:r>
        <w:rPr>
          <w:rFonts w:hint="eastAsia" w:ascii="宋体" w:hAnsi="宋体" w:cs="宋体"/>
          <w:bCs/>
          <w:color w:val="FF0000"/>
          <w:sz w:val="21"/>
          <w:szCs w:val="21"/>
          <w:shd w:val="clear" w:color="auto" w:fill="FFFFFF"/>
          <w:lang w:val="en-US" w:eastAsia="zh-CN"/>
        </w:rPr>
        <w:t xml:space="preserve"> </w:t>
      </w:r>
    </w:p>
    <w:p>
      <w:pPr>
        <w:pStyle w:val="5"/>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beforeAutospacing="0" w:after="0" w:afterAutospacing="0" w:line="360" w:lineRule="auto"/>
        <w:ind w:left="226"/>
        <w:jc w:val="both"/>
        <w:rPr>
          <w:rFonts w:cs="Calibri"/>
          <w:color w:val="000000"/>
          <w:sz w:val="21"/>
          <w:szCs w:val="21"/>
          <w:shd w:val="clear" w:color="auto" w:fill="FFFFFF"/>
        </w:rPr>
      </w:pPr>
      <w:r>
        <w:rPr>
          <w:rFonts w:cs="Calibri"/>
          <w:sz w:val="21"/>
          <w:szCs w:val="21"/>
        </w:rPr>
        <w:t>*</w:t>
      </w:r>
      <w:r>
        <w:rPr>
          <w:rFonts w:cs="Calibri"/>
          <w:color w:val="333333"/>
          <w:sz w:val="21"/>
          <w:szCs w:val="21"/>
        </w:rPr>
        <w:t>若未达到直读专业课的要求或未通过内测，需加读5-15周语言课程，2021年学前英语课程费用为395英镑/周。</w:t>
      </w:r>
    </w:p>
    <w:p>
      <w:pPr>
        <w:pStyle w:val="5"/>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beforeAutospacing="0" w:after="0" w:afterAutospacing="0" w:line="360" w:lineRule="auto"/>
        <w:jc w:val="both"/>
        <w:rPr>
          <w:rFonts w:hint="eastAsia" w:ascii="宋体" w:hAnsi="宋体" w:cs="宋体"/>
          <w:b/>
          <w:bCs/>
          <w:color w:val="000000"/>
          <w:sz w:val="21"/>
          <w:szCs w:val="21"/>
          <w:shd w:val="clear" w:color="auto" w:fill="FFFFFF"/>
        </w:rPr>
      </w:pPr>
      <w:r>
        <w:rPr>
          <w:rFonts w:hint="eastAsia" w:ascii="宋体" w:hAnsi="宋体" w:cs="宋体"/>
          <w:b/>
          <w:bCs/>
          <w:color w:val="000000"/>
          <w:sz w:val="21"/>
          <w:szCs w:val="21"/>
          <w:shd w:val="clear" w:color="auto" w:fill="FFFFFF"/>
        </w:rPr>
        <w:t xml:space="preserve">六、报名截止时间： </w:t>
      </w:r>
    </w:p>
    <w:p>
      <w:pPr>
        <w:pStyle w:val="5"/>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spacing w:before="0" w:beforeAutospacing="0" w:after="0" w:afterAutospacing="0" w:line="360" w:lineRule="auto"/>
        <w:jc w:val="both"/>
        <w:rPr>
          <w:rFonts w:hint="default" w:ascii="宋体" w:hAnsi="宋体" w:eastAsia="宋体" w:cs="宋体"/>
          <w:color w:val="auto"/>
          <w:sz w:val="21"/>
          <w:szCs w:val="21"/>
          <w:shd w:val="clear" w:color="auto" w:fill="FFFFFF"/>
          <w:lang w:val="en-US" w:eastAsia="zh-CN"/>
        </w:rPr>
      </w:pPr>
      <w:r>
        <w:rPr>
          <w:rFonts w:hint="eastAsia" w:ascii="宋体" w:hAnsi="宋体" w:cs="宋体"/>
          <w:color w:val="auto"/>
          <w:sz w:val="21"/>
          <w:szCs w:val="21"/>
          <w:shd w:val="clear" w:color="auto" w:fill="FFFFFF"/>
        </w:rPr>
        <w:t>春季入学：1</w:t>
      </w:r>
      <w:r>
        <w:rPr>
          <w:rFonts w:ascii="宋体" w:hAnsi="宋体" w:cs="宋体"/>
          <w:color w:val="auto"/>
          <w:sz w:val="21"/>
          <w:szCs w:val="21"/>
          <w:shd w:val="clear" w:color="auto" w:fill="FFFFFF"/>
        </w:rPr>
        <w:t>2</w:t>
      </w:r>
      <w:r>
        <w:rPr>
          <w:rFonts w:hint="eastAsia" w:ascii="宋体" w:hAnsi="宋体" w:cs="宋体"/>
          <w:color w:val="auto"/>
          <w:sz w:val="21"/>
          <w:szCs w:val="21"/>
          <w:shd w:val="clear" w:color="auto" w:fill="FFFFFF"/>
        </w:rPr>
        <w:t>月</w:t>
      </w:r>
      <w:r>
        <w:rPr>
          <w:rFonts w:ascii="宋体" w:hAnsi="宋体" w:cs="宋体"/>
          <w:color w:val="auto"/>
          <w:sz w:val="21"/>
          <w:szCs w:val="21"/>
          <w:shd w:val="clear" w:color="auto" w:fill="FFFFFF"/>
        </w:rPr>
        <w:t>15</w:t>
      </w:r>
      <w:r>
        <w:rPr>
          <w:rFonts w:hint="eastAsia" w:ascii="宋体" w:hAnsi="宋体" w:cs="宋体"/>
          <w:color w:val="auto"/>
          <w:sz w:val="21"/>
          <w:szCs w:val="21"/>
          <w:shd w:val="clear" w:color="auto" w:fill="FFFFFF"/>
        </w:rPr>
        <w:t>日</w:t>
      </w:r>
      <w:r>
        <w:rPr>
          <w:rFonts w:hint="eastAsia" w:ascii="宋体" w:hAnsi="宋体" w:cs="宋体"/>
          <w:color w:val="auto"/>
          <w:sz w:val="21"/>
          <w:szCs w:val="21"/>
          <w:shd w:val="clear" w:color="auto" w:fill="FFFFFF"/>
          <w:lang w:val="en-US" w:eastAsia="zh-CN"/>
        </w:rPr>
        <w:t xml:space="preserve">  </w:t>
      </w:r>
    </w:p>
    <w:p>
      <w:pPr>
        <w:pStyle w:val="5"/>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spacing w:before="0" w:beforeAutospacing="0" w:after="0" w:afterAutospacing="0" w:line="360" w:lineRule="auto"/>
        <w:jc w:val="both"/>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秋季入学：</w:t>
      </w:r>
      <w:r>
        <w:rPr>
          <w:rFonts w:ascii="宋体" w:hAnsi="宋体" w:cs="宋体"/>
          <w:color w:val="auto"/>
          <w:sz w:val="21"/>
          <w:szCs w:val="21"/>
          <w:shd w:val="clear" w:color="auto" w:fill="FFFFFF"/>
        </w:rPr>
        <w:t>5</w:t>
      </w:r>
      <w:r>
        <w:rPr>
          <w:rFonts w:hint="eastAsia" w:ascii="宋体" w:hAnsi="宋体" w:cs="宋体"/>
          <w:color w:val="auto"/>
          <w:sz w:val="21"/>
          <w:szCs w:val="21"/>
          <w:shd w:val="clear" w:color="auto" w:fill="FFFFFF"/>
        </w:rPr>
        <w:t xml:space="preserve">月30日 </w:t>
      </w:r>
    </w:p>
    <w:p>
      <w:pPr>
        <w:pStyle w:val="5"/>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spacing w:before="0" w:beforeAutospacing="0" w:after="0" w:afterAutospacing="0" w:line="360" w:lineRule="auto"/>
        <w:jc w:val="both"/>
        <w:rPr>
          <w:rFonts w:hint="eastAsia" w:ascii="宋体" w:hAnsi="宋体" w:eastAsia="宋体" w:cs="宋体"/>
          <w:color w:val="FF0000"/>
          <w:sz w:val="21"/>
          <w:szCs w:val="21"/>
          <w:shd w:val="clear" w:color="auto" w:fill="FFFFFF"/>
          <w:lang w:val="en-US" w:eastAsia="zh-CN"/>
        </w:rPr>
      </w:pPr>
      <w:r>
        <w:rPr>
          <w:rFonts w:hint="eastAsia" w:ascii="宋体" w:hAnsi="宋体" w:cs="宋体"/>
          <w:color w:val="auto"/>
          <w:sz w:val="21"/>
          <w:szCs w:val="21"/>
          <w:shd w:val="clear" w:color="auto" w:fill="FFFFFF"/>
          <w:lang w:val="en-US" w:eastAsia="zh-CN"/>
        </w:rPr>
        <w:t xml:space="preserve">   </w:t>
      </w:r>
      <w:r>
        <w:rPr>
          <w:rFonts w:hint="eastAsia" w:ascii="宋体" w:hAnsi="宋体" w:cs="宋体"/>
          <w:color w:val="FF0000"/>
          <w:sz w:val="21"/>
          <w:szCs w:val="21"/>
          <w:shd w:val="clear" w:color="auto" w:fill="FFFFFF"/>
          <w:lang w:val="en-US" w:eastAsia="zh-CN"/>
        </w:rPr>
        <w:t xml:space="preserve"> 备注：2+2 部分专业可以1月入学；9月均可入学，专业不限</w:t>
      </w:r>
    </w:p>
    <w:p>
      <w:pPr>
        <w:pStyle w:val="5"/>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beforeAutospacing="0" w:after="0" w:afterAutospacing="0" w:line="360" w:lineRule="auto"/>
        <w:jc w:val="both"/>
        <w:rPr>
          <w:rFonts w:hint="eastAsia" w:ascii="宋体" w:hAnsi="宋体" w:cs="宋体"/>
          <w:b/>
          <w:bCs/>
          <w:color w:val="000000"/>
          <w:sz w:val="21"/>
          <w:szCs w:val="21"/>
          <w:shd w:val="clear" w:color="auto" w:fill="FFFFFF"/>
          <w:lang w:val="zh-CN"/>
        </w:rPr>
      </w:pPr>
      <w:r>
        <w:rPr>
          <w:rFonts w:hint="eastAsia" w:ascii="宋体" w:hAnsi="宋体" w:cs="宋体"/>
          <w:b/>
          <w:bCs/>
          <w:color w:val="000000"/>
          <w:sz w:val="21"/>
          <w:szCs w:val="21"/>
          <w:shd w:val="clear" w:color="auto" w:fill="FFFFFF"/>
        </w:rPr>
        <w:t>七、学习时间：</w:t>
      </w:r>
    </w:p>
    <w:p>
      <w:pPr>
        <w:pStyle w:val="11"/>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两年</w:t>
      </w:r>
    </w:p>
    <w:p>
      <w:pPr>
        <w:pStyle w:val="11"/>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宋体" w:hAnsi="宋体" w:eastAsia="宋体" w:cs="宋体"/>
          <w:sz w:val="21"/>
          <w:szCs w:val="21"/>
          <w:shd w:val="clear" w:color="auto" w:fill="FFFFFF"/>
          <w:lang w:val="en-US" w:eastAsia="zh-CN" w:bidi="ar"/>
        </w:rPr>
      </w:pPr>
      <w:r>
        <w:rPr>
          <w:rFonts w:hint="eastAsia" w:ascii="宋体" w:hAnsi="宋体" w:eastAsia="宋体" w:cs="宋体"/>
          <w:b/>
          <w:bCs/>
          <w:sz w:val="21"/>
          <w:szCs w:val="21"/>
          <w:shd w:val="clear" w:color="auto" w:fill="FFFFFF"/>
          <w:lang w:val="en-US" w:eastAsia="zh-CN" w:bidi="ar"/>
        </w:rPr>
        <w:t>八、海外项目费用：</w:t>
      </w:r>
      <w:r>
        <w:rPr>
          <w:rFonts w:ascii="宋体" w:hAnsi="宋体" w:eastAsia="宋体" w:cs="宋体"/>
          <w:sz w:val="21"/>
          <w:szCs w:val="21"/>
          <w:shd w:val="clear" w:color="auto" w:fill="FFFFFF"/>
          <w:lang w:val="en-US" w:eastAsia="zh-CN" w:bidi="ar"/>
        </w:rPr>
        <w:t xml:space="preserve"> </w:t>
      </w:r>
    </w:p>
    <w:p>
      <w:pPr>
        <w:pStyle w:val="12"/>
        <w:jc w:val="both"/>
      </w:pPr>
      <w:r>
        <w:rPr>
          <w:rFonts w:hint="eastAsia"/>
        </w:rPr>
        <w:t>课程学费</w:t>
      </w:r>
    </w:p>
    <w:tbl>
      <w:tblPr>
        <w:tblStyle w:val="6"/>
        <w:tblW w:w="8329"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0"/>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4360" w:type="dxa"/>
            <w:noWrap w:val="0"/>
            <w:vAlign w:val="top"/>
          </w:tcPr>
          <w:p>
            <w:pPr>
              <w:pStyle w:val="12"/>
              <w:jc w:val="both"/>
            </w:pPr>
            <w:r>
              <w:rPr>
                <w:rFonts w:hint="eastAsia"/>
              </w:rPr>
              <w:t>学部</w:t>
            </w:r>
          </w:p>
        </w:tc>
        <w:tc>
          <w:tcPr>
            <w:tcW w:w="3969" w:type="dxa"/>
            <w:noWrap w:val="0"/>
            <w:vAlign w:val="top"/>
          </w:tcPr>
          <w:p>
            <w:pPr>
              <w:pStyle w:val="12"/>
              <w:tabs>
                <w:tab w:val="left" w:pos="705"/>
              </w:tabs>
              <w:jc w:val="both"/>
            </w:pPr>
            <w:r>
              <w:rPr>
                <w:rFonts w:hint="eastAsia"/>
              </w:rPr>
              <w:t>本科</w:t>
            </w:r>
            <w:r>
              <w:t>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360" w:type="dxa"/>
            <w:noWrap w:val="0"/>
            <w:vAlign w:val="top"/>
          </w:tcPr>
          <w:p>
            <w:pPr>
              <w:pStyle w:val="12"/>
              <w:jc w:val="both"/>
            </w:pPr>
            <w:r>
              <w:rPr>
                <w:rFonts w:hint="eastAsia"/>
              </w:rPr>
              <w:t>商务</w:t>
            </w:r>
            <w:r>
              <w:t>与法律学部</w:t>
            </w:r>
          </w:p>
        </w:tc>
        <w:tc>
          <w:tcPr>
            <w:tcW w:w="3969" w:type="dxa"/>
            <w:noWrap w:val="0"/>
            <w:vAlign w:val="top"/>
          </w:tcPr>
          <w:p>
            <w:pPr>
              <w:pStyle w:val="12"/>
              <w:jc w:val="both"/>
            </w:pPr>
            <w:r>
              <w:rPr>
                <w:rFonts w:hint="eastAsia"/>
              </w:rPr>
              <w:t>1</w:t>
            </w:r>
            <w:r>
              <w:t>3900-14700</w:t>
            </w:r>
            <w:r>
              <w:rPr>
                <w:rFonts w:hint="eastAsia"/>
              </w:rPr>
              <w:t>英镑/年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4360" w:type="dxa"/>
            <w:noWrap w:val="0"/>
            <w:vAlign w:val="top"/>
          </w:tcPr>
          <w:p>
            <w:pPr>
              <w:pStyle w:val="12"/>
              <w:jc w:val="both"/>
            </w:pPr>
            <w:r>
              <w:rPr>
                <w:rFonts w:hint="eastAsia"/>
              </w:rPr>
              <w:t>工程</w:t>
            </w:r>
            <w:r>
              <w:t>、环境与计算机学部</w:t>
            </w:r>
          </w:p>
        </w:tc>
        <w:tc>
          <w:tcPr>
            <w:tcW w:w="3969" w:type="dxa"/>
            <w:noWrap w:val="0"/>
            <w:vAlign w:val="top"/>
          </w:tcPr>
          <w:p>
            <w:pPr>
              <w:pStyle w:val="12"/>
              <w:jc w:val="both"/>
            </w:pPr>
            <w:r>
              <w:rPr>
                <w:rFonts w:hint="eastAsia"/>
              </w:rPr>
              <w:t>1</w:t>
            </w:r>
            <w:r>
              <w:t>4500-16400</w:t>
            </w:r>
            <w:r>
              <w:rPr>
                <w:rFonts w:hint="eastAsia"/>
              </w:rPr>
              <w:t>英镑/年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60" w:type="dxa"/>
            <w:noWrap w:val="0"/>
            <w:vAlign w:val="top"/>
          </w:tcPr>
          <w:p>
            <w:pPr>
              <w:pStyle w:val="12"/>
              <w:jc w:val="both"/>
            </w:pPr>
            <w:r>
              <w:rPr>
                <w:rFonts w:hint="eastAsia"/>
              </w:rPr>
              <w:t>健康</w:t>
            </w:r>
            <w:r>
              <w:t>与生命科学</w:t>
            </w:r>
            <w:r>
              <w:rPr>
                <w:rFonts w:hint="eastAsia"/>
              </w:rPr>
              <w:t>学部</w:t>
            </w:r>
          </w:p>
        </w:tc>
        <w:tc>
          <w:tcPr>
            <w:tcW w:w="3969" w:type="dxa"/>
            <w:noWrap w:val="0"/>
            <w:vAlign w:val="top"/>
          </w:tcPr>
          <w:p>
            <w:pPr>
              <w:pStyle w:val="12"/>
              <w:jc w:val="both"/>
            </w:pPr>
            <w:r>
              <w:rPr>
                <w:rFonts w:hint="eastAsia"/>
              </w:rPr>
              <w:t>1</w:t>
            </w:r>
            <w:r>
              <w:t>3900</w:t>
            </w:r>
            <w:r>
              <w:rPr>
                <w:rFonts w:hint="eastAsia"/>
              </w:rPr>
              <w:t>-1</w:t>
            </w:r>
            <w:r>
              <w:t>6400</w:t>
            </w:r>
            <w:r>
              <w:rPr>
                <w:rFonts w:hint="eastAsia"/>
              </w:rPr>
              <w:t>英镑/年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4360" w:type="dxa"/>
            <w:noWrap w:val="0"/>
            <w:vAlign w:val="top"/>
          </w:tcPr>
          <w:p>
            <w:pPr>
              <w:pStyle w:val="12"/>
              <w:jc w:val="both"/>
            </w:pPr>
            <w:r>
              <w:rPr>
                <w:rFonts w:hint="eastAsia"/>
              </w:rPr>
              <w:t>艺术</w:t>
            </w:r>
            <w:r>
              <w:t>与人文学部</w:t>
            </w:r>
          </w:p>
        </w:tc>
        <w:tc>
          <w:tcPr>
            <w:tcW w:w="3969" w:type="dxa"/>
            <w:noWrap w:val="0"/>
            <w:vAlign w:val="top"/>
          </w:tcPr>
          <w:p>
            <w:pPr>
              <w:pStyle w:val="12"/>
              <w:jc w:val="both"/>
            </w:pPr>
            <w:r>
              <w:rPr>
                <w:rFonts w:hint="eastAsia"/>
              </w:rPr>
              <w:t>1</w:t>
            </w:r>
            <w:r>
              <w:t>3900</w:t>
            </w:r>
            <w:r>
              <w:rPr>
                <w:rFonts w:hint="eastAsia"/>
              </w:rPr>
              <w:t>-1</w:t>
            </w:r>
            <w:r>
              <w:t>6400</w:t>
            </w:r>
            <w:r>
              <w:rPr>
                <w:rFonts w:hint="eastAsia"/>
              </w:rPr>
              <w:t>英镑/年</w:t>
            </w:r>
          </w:p>
        </w:tc>
      </w:tr>
    </w:tbl>
    <w:p>
      <w:pPr>
        <w:pStyle w:val="12"/>
        <w:jc w:val="both"/>
        <w:rPr>
          <w:rFonts w:hint="eastAsia"/>
        </w:rPr>
      </w:pPr>
      <w:r>
        <w:rPr>
          <w:rFonts w:hint="eastAsia"/>
        </w:rPr>
        <w:t>*</w:t>
      </w:r>
      <w:r>
        <w:t>注：以上</w:t>
      </w:r>
      <w:r>
        <w:rPr>
          <w:rFonts w:hint="eastAsia"/>
        </w:rPr>
        <w:t>学费</w:t>
      </w:r>
      <w:r>
        <w:t>均为2020</w:t>
      </w:r>
      <w:r>
        <w:rPr>
          <w:rFonts w:hint="eastAsia"/>
        </w:rPr>
        <w:t>年</w:t>
      </w:r>
      <w:r>
        <w:t>标准，仅供参考</w:t>
      </w:r>
    </w:p>
    <w:p>
      <w:pPr>
        <w:pStyle w:val="12"/>
        <w:jc w:val="both"/>
      </w:pPr>
      <w:r>
        <w:rPr>
          <w:rFonts w:hint="eastAsia"/>
        </w:rPr>
        <w:t>生活费用</w:t>
      </w:r>
    </w:p>
    <w:p>
      <w:pPr>
        <w:pStyle w:val="12"/>
        <w:jc w:val="both"/>
        <w:rPr>
          <w:rFonts w:hint="eastAsia"/>
        </w:rPr>
      </w:pPr>
      <w:r>
        <w:rPr>
          <w:rFonts w:hint="eastAsia"/>
        </w:rPr>
        <w:t>根据英国</w:t>
      </w:r>
      <w:r>
        <w:t>移民</w:t>
      </w:r>
      <w:r>
        <w:rPr>
          <w:rFonts w:hint="eastAsia"/>
        </w:rPr>
        <w:t>签证</w:t>
      </w:r>
      <w:r>
        <w:t>局</w:t>
      </w:r>
      <w:r>
        <w:rPr>
          <w:rFonts w:hint="eastAsia"/>
        </w:rPr>
        <w:t>规定</w:t>
      </w:r>
      <w:r>
        <w:t>，非伦敦地区</w:t>
      </w:r>
      <w:r>
        <w:rPr>
          <w:rFonts w:hint="eastAsia"/>
        </w:rPr>
        <w:t>每个月</w:t>
      </w:r>
      <w:r>
        <w:t>生活费标准为</w:t>
      </w:r>
      <w:r>
        <w:rPr>
          <w:rFonts w:hint="eastAsia"/>
        </w:rPr>
        <w:t>1015英镑</w:t>
      </w:r>
      <w:r>
        <w:t>，包括住宿费、</w:t>
      </w:r>
      <w:r>
        <w:rPr>
          <w:rFonts w:hint="eastAsia"/>
        </w:rPr>
        <w:t>水电费</w:t>
      </w:r>
      <w:r>
        <w:t>、</w:t>
      </w:r>
      <w:r>
        <w:rPr>
          <w:rFonts w:hint="eastAsia"/>
        </w:rPr>
        <w:t>交通费</w:t>
      </w:r>
      <w:r>
        <w:t>、食物和衣服等生活</w:t>
      </w:r>
      <w:r>
        <w:rPr>
          <w:rFonts w:hint="eastAsia"/>
        </w:rPr>
        <w:t>开销</w:t>
      </w:r>
      <w:r>
        <w:t>费用。</w:t>
      </w:r>
      <w:r>
        <w:rPr>
          <w:rFonts w:hint="eastAsia"/>
        </w:rPr>
        <w:t>此费用</w:t>
      </w:r>
      <w:r>
        <w:t>仅供参考，具体以学生个人消费水平为准。</w:t>
      </w:r>
    </w:p>
    <w:p>
      <w:pPr>
        <w:pStyle w:val="11"/>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hint="eastAsia" w:ascii="宋体" w:hAnsi="宋体" w:eastAsia="宋体" w:cs="宋体"/>
          <w:b/>
          <w:bCs/>
          <w:sz w:val="21"/>
          <w:szCs w:val="21"/>
        </w:rPr>
      </w:pPr>
      <w:r>
        <w:rPr>
          <w:rFonts w:hint="eastAsia" w:ascii="宋体" w:hAnsi="宋体" w:eastAsia="宋体" w:cs="宋体"/>
          <w:b/>
          <w:bCs/>
          <w:sz w:val="21"/>
          <w:szCs w:val="21"/>
          <w:shd w:val="clear" w:color="auto" w:fill="FFFFFF"/>
          <w:lang w:eastAsia="zh-CN"/>
        </w:rPr>
        <w:t>九、学校选拔及推荐：</w:t>
      </w:r>
    </w:p>
    <w:p>
      <w:pPr>
        <w:pStyle w:val="5"/>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beforeAutospacing="0" w:after="0" w:afterAutospacing="0" w:line="360" w:lineRule="auto"/>
        <w:ind w:left="226" w:firstLine="420" w:firstLineChars="200"/>
        <w:jc w:val="both"/>
        <w:rPr>
          <w:rFonts w:hint="eastAsia" w:ascii="宋体" w:hAnsi="宋体" w:cs="宋体"/>
          <w:sz w:val="21"/>
          <w:szCs w:val="21"/>
        </w:rPr>
      </w:pPr>
      <w:r>
        <w:rPr>
          <w:rFonts w:hint="eastAsia" w:ascii="宋体" w:hAnsi="宋体" w:cs="宋体"/>
          <w:sz w:val="21"/>
          <w:szCs w:val="21"/>
        </w:rPr>
        <w:t>国际处</w:t>
      </w:r>
      <w:r>
        <w:rPr>
          <w:rFonts w:hint="eastAsia" w:ascii="宋体" w:hAnsi="宋体" w:cs="宋体"/>
          <w:color w:val="000000"/>
          <w:sz w:val="21"/>
          <w:szCs w:val="21"/>
          <w:shd w:val="clear" w:color="auto" w:fill="FFFFFF"/>
        </w:rPr>
        <w:t>对经学院同意报名的学生材料进行审核，根据报名学生的英语水平、学术水平择优推荐，由</w:t>
      </w:r>
      <w:r>
        <w:rPr>
          <w:rFonts w:hint="eastAsia" w:ascii="宋体" w:hAnsi="宋体" w:cs="宋体"/>
          <w:color w:val="FF0000"/>
          <w:sz w:val="21"/>
          <w:szCs w:val="21"/>
          <w:shd w:val="clear" w:color="auto" w:fill="FFFFFF"/>
          <w:lang w:eastAsia="zh-CN"/>
        </w:rPr>
        <w:t>海外高校</w:t>
      </w:r>
      <w:r>
        <w:rPr>
          <w:rFonts w:hint="eastAsia" w:ascii="宋体" w:hAnsi="宋体" w:cs="宋体"/>
          <w:color w:val="000000"/>
          <w:sz w:val="21"/>
          <w:szCs w:val="21"/>
          <w:shd w:val="clear" w:color="auto" w:fill="FFFFFF"/>
        </w:rPr>
        <w:t xml:space="preserve">最终审核录取。  </w:t>
      </w:r>
    </w:p>
    <w:p>
      <w:pPr>
        <w:pStyle w:val="5"/>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beforeAutospacing="0" w:after="0" w:afterAutospacing="0" w:line="360" w:lineRule="auto"/>
        <w:jc w:val="both"/>
        <w:rPr>
          <w:rFonts w:hint="eastAsia" w:ascii="宋体" w:hAnsi="宋体" w:cs="宋体"/>
          <w:b/>
          <w:bCs/>
          <w:color w:val="000000"/>
          <w:sz w:val="21"/>
          <w:szCs w:val="21"/>
          <w:shd w:val="clear" w:color="auto" w:fill="FFFFFF"/>
        </w:rPr>
      </w:pPr>
      <w:r>
        <w:rPr>
          <w:rFonts w:hint="eastAsia" w:ascii="宋体" w:hAnsi="宋体" w:cs="宋体"/>
          <w:b/>
          <w:bCs/>
          <w:color w:val="000000"/>
          <w:sz w:val="21"/>
          <w:szCs w:val="21"/>
          <w:shd w:val="clear" w:color="auto" w:fill="FFFFFF"/>
        </w:rPr>
        <w:t>十、报名材料：</w:t>
      </w:r>
    </w:p>
    <w:p>
      <w:pPr>
        <w:pStyle w:val="11"/>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hint="eastAsia" w:ascii="宋体" w:hAnsi="宋体" w:eastAsia="宋体" w:cs="宋体"/>
          <w:sz w:val="21"/>
          <w:szCs w:val="21"/>
          <w:shd w:val="clear" w:color="auto" w:fill="FFFFFF"/>
          <w:lang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zh-CN" w:eastAsia="zh-CN"/>
        </w:rPr>
        <w:t xml:space="preserve"> </w:t>
      </w:r>
      <w:r>
        <w:rPr>
          <w:rFonts w:hint="eastAsia" w:ascii="宋体" w:hAnsi="宋体" w:eastAsia="宋体" w:cs="宋体"/>
          <w:sz w:val="21"/>
          <w:szCs w:val="21"/>
          <w:lang w:val="en-US" w:eastAsia="zh-CN"/>
        </w:rPr>
        <w:t> </w:t>
      </w:r>
      <w:r>
        <w:rPr>
          <w:rFonts w:hint="eastAsia" w:ascii="宋体" w:hAnsi="宋体" w:eastAsia="宋体" w:cs="宋体"/>
          <w:sz w:val="21"/>
          <w:szCs w:val="21"/>
          <w:lang w:val="zh-CN" w:eastAsia="zh-CN"/>
        </w:rPr>
        <w:t xml:space="preserve">    </w:t>
      </w:r>
      <w:r>
        <w:rPr>
          <w:rFonts w:hint="eastAsia" w:ascii="宋体" w:hAnsi="宋体" w:eastAsia="宋体" w:cs="宋体"/>
          <w:sz w:val="21"/>
          <w:szCs w:val="21"/>
          <w:shd w:val="clear" w:color="auto" w:fill="FFFFFF"/>
          <w:lang w:eastAsia="zh-CN"/>
        </w:rPr>
        <w:t>英国考文垂大学</w:t>
      </w:r>
      <w:r>
        <w:rPr>
          <w:rFonts w:hint="eastAsia" w:ascii="宋体" w:hAnsi="宋体" w:eastAsia="宋体" w:cs="宋体"/>
          <w:sz w:val="21"/>
          <w:szCs w:val="21"/>
        </w:rPr>
        <w:t>学习申请表</w:t>
      </w:r>
      <w:r>
        <w:rPr>
          <w:rFonts w:hint="eastAsia" w:ascii="宋体" w:hAnsi="宋体" w:eastAsia="宋体" w:cs="宋体"/>
          <w:sz w:val="21"/>
          <w:szCs w:val="21"/>
          <w:shd w:val="clear" w:color="auto" w:fill="FFFFFF"/>
        </w:rPr>
        <w:t>（见附件）</w:t>
      </w:r>
    </w:p>
    <w:p>
      <w:pPr>
        <w:pStyle w:val="5"/>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beforeAutospacing="0" w:after="0" w:afterAutospacing="0" w:line="360" w:lineRule="auto"/>
        <w:jc w:val="both"/>
        <w:rPr>
          <w:rFonts w:hint="eastAsia" w:ascii="宋体" w:hAnsi="宋体" w:cs="宋体"/>
          <w:b/>
          <w:bCs/>
          <w:sz w:val="21"/>
          <w:szCs w:val="21"/>
        </w:rPr>
      </w:pPr>
      <w:r>
        <w:rPr>
          <w:rFonts w:hint="eastAsia" w:ascii="宋体" w:hAnsi="宋体" w:cs="宋体"/>
          <w:b/>
          <w:bCs/>
          <w:color w:val="000000"/>
          <w:sz w:val="21"/>
          <w:szCs w:val="21"/>
          <w:shd w:val="clear" w:color="auto" w:fill="FFFFFF"/>
        </w:rPr>
        <w:t>十一、报名事宜</w:t>
      </w:r>
      <w:r>
        <w:rPr>
          <w:rFonts w:hint="eastAsia" w:ascii="宋体" w:hAnsi="宋体" w:cs="宋体"/>
          <w:b/>
          <w:bCs/>
          <w:color w:val="000000"/>
          <w:sz w:val="21"/>
          <w:szCs w:val="21"/>
          <w:shd w:val="clear" w:color="auto" w:fill="FFFFFF"/>
          <w:lang w:val="zh-CN"/>
        </w:rPr>
        <w:t>：</w:t>
      </w:r>
    </w:p>
    <w:p>
      <w:pPr>
        <w:pStyle w:val="5"/>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beforeAutospacing="0" w:after="0" w:afterAutospacing="0" w:line="360" w:lineRule="auto"/>
        <w:ind w:left="226" w:firstLine="420" w:firstLineChars="200"/>
        <w:jc w:val="both"/>
        <w:rPr>
          <w:rFonts w:hint="eastAsia" w:ascii="宋体" w:hAnsi="宋体" w:cs="宋体"/>
          <w:sz w:val="21"/>
          <w:szCs w:val="21"/>
        </w:rPr>
      </w:pPr>
      <w:r>
        <w:rPr>
          <w:rFonts w:hint="eastAsia" w:ascii="宋体" w:hAnsi="宋体" w:cs="宋体"/>
          <w:sz w:val="21"/>
          <w:szCs w:val="21"/>
        </w:rPr>
        <w:t>请有意向参加交换项目的学生于</w:t>
      </w:r>
      <w:r>
        <w:rPr>
          <w:rFonts w:hint="eastAsia" w:ascii="宋体" w:hAnsi="宋体" w:cs="宋体"/>
          <w:color w:val="FF0000"/>
          <w:sz w:val="21"/>
          <w:szCs w:val="21"/>
        </w:rPr>
        <w:t>20</w:t>
      </w:r>
      <w:r>
        <w:rPr>
          <w:rFonts w:hint="eastAsia" w:ascii="宋体" w:hAnsi="宋体" w:cs="宋体"/>
          <w:color w:val="FF0000"/>
          <w:sz w:val="21"/>
          <w:szCs w:val="21"/>
          <w:lang w:val="en-US" w:eastAsia="zh-CN"/>
        </w:rPr>
        <w:t>20</w:t>
      </w:r>
      <w:r>
        <w:rPr>
          <w:rFonts w:hint="eastAsia" w:ascii="宋体" w:hAnsi="宋体" w:cs="宋体"/>
          <w:color w:val="FF0000"/>
          <w:sz w:val="21"/>
          <w:szCs w:val="21"/>
        </w:rPr>
        <w:t>年1</w:t>
      </w:r>
      <w:r>
        <w:rPr>
          <w:rFonts w:hint="eastAsia" w:ascii="宋体" w:hAnsi="宋体" w:cs="宋体"/>
          <w:color w:val="FF0000"/>
          <w:sz w:val="21"/>
          <w:szCs w:val="21"/>
          <w:lang w:val="en-US" w:eastAsia="zh-CN"/>
        </w:rPr>
        <w:t>2</w:t>
      </w:r>
      <w:r>
        <w:rPr>
          <w:rFonts w:hint="eastAsia" w:ascii="宋体" w:hAnsi="宋体" w:cs="宋体"/>
          <w:color w:val="FF0000"/>
          <w:sz w:val="21"/>
          <w:szCs w:val="21"/>
        </w:rPr>
        <w:t>月</w:t>
      </w:r>
      <w:r>
        <w:rPr>
          <w:rFonts w:hint="eastAsia" w:ascii="宋体" w:hAnsi="宋体" w:cs="宋体"/>
          <w:color w:val="FF0000"/>
          <w:sz w:val="21"/>
          <w:szCs w:val="21"/>
          <w:lang w:val="en-US" w:eastAsia="zh-CN"/>
        </w:rPr>
        <w:t>18</w:t>
      </w:r>
      <w:r>
        <w:rPr>
          <w:rFonts w:hint="eastAsia" w:ascii="宋体" w:hAnsi="宋体" w:cs="宋体"/>
          <w:color w:val="FF0000"/>
          <w:sz w:val="21"/>
          <w:szCs w:val="21"/>
        </w:rPr>
        <w:t>日</w:t>
      </w:r>
      <w:r>
        <w:rPr>
          <w:rFonts w:hint="eastAsia" w:ascii="宋体" w:hAnsi="宋体" w:cs="宋体"/>
          <w:sz w:val="21"/>
          <w:szCs w:val="21"/>
        </w:rPr>
        <w:t>前将报名表交国际交流科办公室（地址：国际楼219，联系人：江老师，联系电话：0791-83863837)。欲了解项目详情，请联系考文垂大学学术合作处中国办公室，电话：0</w:t>
      </w:r>
      <w:r>
        <w:rPr>
          <w:rFonts w:ascii="宋体" w:hAnsi="宋体" w:cs="宋体"/>
          <w:sz w:val="21"/>
          <w:szCs w:val="21"/>
        </w:rPr>
        <w:t>571-86480415</w:t>
      </w:r>
    </w:p>
    <w:p>
      <w:pPr>
        <w:pStyle w:val="13"/>
        <w:tabs>
          <w:tab w:val="left" w:pos="7760"/>
        </w:tabs>
        <w:jc w:val="center"/>
        <w:rPr>
          <w:rFonts w:hint="eastAsia" w:ascii="宋体" w:eastAsia="宋体" w:cs="黑体"/>
          <w:b/>
          <w:bCs/>
          <w:sz w:val="32"/>
          <w:szCs w:val="32"/>
          <w:u w:val="none" w:color="auto"/>
          <w:lang w:val="zh-Hans" w:eastAsia="zh-Hans"/>
        </w:rPr>
      </w:pPr>
      <w:r>
        <w:rPr>
          <w:rFonts w:hint="eastAsia" w:ascii="宋体" w:eastAsia="宋体" w:cs="黑体"/>
          <w:b/>
          <w:bCs/>
          <w:sz w:val="32"/>
          <w:szCs w:val="32"/>
          <w:u w:val="none" w:color="auto"/>
          <w:lang w:val="zh-Hans"/>
        </w:rPr>
        <w:t>南昌航空大学</w:t>
      </w:r>
      <w:r>
        <w:rPr>
          <w:rFonts w:hint="eastAsia" w:ascii="宋体" w:eastAsia="宋体" w:cs="黑体"/>
          <w:b/>
          <w:bCs/>
          <w:sz w:val="32"/>
          <w:szCs w:val="32"/>
          <w:u w:val="none" w:color="auto"/>
          <w:lang w:val="zh-Hans" w:eastAsia="zh-Hans"/>
        </w:rPr>
        <w:t>赴</w:t>
      </w:r>
      <w:r>
        <w:rPr>
          <w:rFonts w:hint="eastAsia" w:ascii="宋体" w:eastAsia="宋体" w:cs="黑体"/>
          <w:b/>
          <w:bCs/>
          <w:sz w:val="32"/>
          <w:szCs w:val="32"/>
          <w:u w:val="none" w:color="auto"/>
        </w:rPr>
        <w:t>英国考文垂</w:t>
      </w:r>
      <w:r>
        <w:rPr>
          <w:rFonts w:hint="eastAsia" w:ascii="宋体" w:eastAsia="宋体" w:cs="黑体"/>
          <w:b/>
          <w:bCs/>
          <w:sz w:val="32"/>
          <w:szCs w:val="32"/>
          <w:u w:val="none" w:color="auto"/>
          <w:lang w:val="zh-Hans" w:eastAsia="zh-Hans"/>
        </w:rPr>
        <w:t>大学学习申请表</w:t>
      </w:r>
    </w:p>
    <w:p>
      <w:pPr>
        <w:pStyle w:val="13"/>
        <w:keepNext w:val="0"/>
        <w:keepLines w:val="0"/>
        <w:pageBreakBefore w:val="0"/>
        <w:widowControl w:val="0"/>
        <w:tabs>
          <w:tab w:val="left" w:pos="7760"/>
        </w:tabs>
        <w:kinsoku/>
        <w:wordWrap/>
        <w:overflowPunct/>
        <w:topLinePunct w:val="0"/>
        <w:autoSpaceDE/>
        <w:autoSpaceDN/>
        <w:bidi w:val="0"/>
        <w:adjustRightInd/>
        <w:snapToGrid/>
        <w:spacing w:line="240" w:lineRule="exact"/>
        <w:jc w:val="center"/>
        <w:textAlignment w:val="auto"/>
        <w:rPr>
          <w:rFonts w:hint="eastAsia" w:ascii="宋体" w:eastAsia="宋体" w:cs="黑体"/>
          <w:b/>
          <w:bCs/>
          <w:sz w:val="32"/>
          <w:szCs w:val="32"/>
          <w:u w:val="none" w:color="auto"/>
          <w:lang w:val="zh-Hans" w:eastAsia="zh-Hans"/>
        </w:rPr>
      </w:pPr>
    </w:p>
    <w:p>
      <w:pPr>
        <w:pStyle w:val="13"/>
        <w:tabs>
          <w:tab w:val="left" w:pos="7760"/>
        </w:tabs>
        <w:rPr>
          <w:rFonts w:ascii="黑体" w:eastAsia="黑体" w:cs="黑体"/>
          <w:sz w:val="28"/>
          <w:szCs w:val="28"/>
        </w:rPr>
      </w:pPr>
      <w:r>
        <w:rPr>
          <w:rFonts w:ascii="黑体" w:eastAsia="黑体" w:cs="黑体"/>
          <w:sz w:val="28"/>
          <w:szCs w:val="28"/>
        </w:rPr>
        <w:t xml:space="preserve">学院：            </w:t>
      </w:r>
      <w:r>
        <w:rPr>
          <w:rFonts w:hint="eastAsia" w:ascii="黑体" w:eastAsia="黑体" w:cs="黑体"/>
          <w:sz w:val="28"/>
          <w:szCs w:val="28"/>
          <w:lang w:eastAsia="zh-CN"/>
        </w:rPr>
        <w:t>　</w:t>
      </w:r>
      <w:r>
        <w:rPr>
          <w:rFonts w:ascii="黑体" w:eastAsia="黑体" w:cs="黑体"/>
          <w:sz w:val="28"/>
          <w:szCs w:val="28"/>
        </w:rPr>
        <w:t>专业：               班级：</w:t>
      </w:r>
    </w:p>
    <w:tbl>
      <w:tblPr>
        <w:tblStyle w:val="6"/>
        <w:tblW w:w="0" w:type="auto"/>
        <w:tblInd w:w="108" w:type="dxa"/>
        <w:tblLayout w:type="fixed"/>
        <w:tblCellMar>
          <w:top w:w="0" w:type="dxa"/>
          <w:left w:w="108" w:type="dxa"/>
          <w:bottom w:w="0" w:type="dxa"/>
          <w:right w:w="108" w:type="dxa"/>
        </w:tblCellMar>
      </w:tblPr>
      <w:tblGrid>
        <w:gridCol w:w="1010"/>
        <w:gridCol w:w="757"/>
        <w:gridCol w:w="828"/>
        <w:gridCol w:w="615"/>
        <w:gridCol w:w="330"/>
        <w:gridCol w:w="666"/>
        <w:gridCol w:w="748"/>
        <w:gridCol w:w="1355"/>
        <w:gridCol w:w="200"/>
        <w:gridCol w:w="1905"/>
      </w:tblGrid>
      <w:tr>
        <w:tblPrEx>
          <w:tblCellMar>
            <w:top w:w="0" w:type="dxa"/>
            <w:left w:w="108" w:type="dxa"/>
            <w:bottom w:w="0" w:type="dxa"/>
            <w:right w:w="108" w:type="dxa"/>
          </w:tblCellMar>
        </w:tblPrEx>
        <w:trPr>
          <w:cantSplit/>
          <w:trHeight w:val="700" w:hRule="atLeast"/>
        </w:trPr>
        <w:tc>
          <w:tcPr>
            <w:tcW w:w="101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13"/>
              <w:jc w:val="center"/>
            </w:pPr>
            <w:r>
              <w:rPr>
                <w:rFonts w:ascii="宋体" w:eastAsia="宋体" w:cs="宋体"/>
                <w:sz w:val="24"/>
                <w:szCs w:val="24"/>
              </w:rPr>
              <w:t>姓名</w:t>
            </w:r>
          </w:p>
        </w:tc>
        <w:tc>
          <w:tcPr>
            <w:tcW w:w="1585" w:type="dxa"/>
            <w:gridSpan w:val="2"/>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13"/>
              <w:jc w:val="center"/>
            </w:pPr>
          </w:p>
        </w:tc>
        <w:tc>
          <w:tcPr>
            <w:tcW w:w="945" w:type="dxa"/>
            <w:gridSpan w:val="2"/>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13"/>
              <w:jc w:val="center"/>
            </w:pPr>
            <w:r>
              <w:rPr>
                <w:rFonts w:ascii="宋体" w:eastAsia="宋体" w:cs="宋体"/>
                <w:sz w:val="24"/>
                <w:szCs w:val="24"/>
              </w:rPr>
              <w:t>学号</w:t>
            </w:r>
          </w:p>
        </w:tc>
        <w:tc>
          <w:tcPr>
            <w:tcW w:w="1414" w:type="dxa"/>
            <w:gridSpan w:val="2"/>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13"/>
              <w:jc w:val="center"/>
            </w:pPr>
          </w:p>
        </w:tc>
        <w:tc>
          <w:tcPr>
            <w:tcW w:w="1555" w:type="dxa"/>
            <w:gridSpan w:val="2"/>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13"/>
              <w:jc w:val="center"/>
              <w:rPr>
                <w:rFonts w:ascii="宋体" w:eastAsia="宋体" w:cs="宋体"/>
                <w:sz w:val="24"/>
                <w:szCs w:val="24"/>
              </w:rPr>
            </w:pPr>
            <w:r>
              <w:rPr>
                <w:rFonts w:ascii="宋体" w:eastAsia="宋体" w:cs="宋体"/>
                <w:sz w:val="24"/>
                <w:szCs w:val="24"/>
              </w:rPr>
              <w:t>联系电话</w:t>
            </w:r>
          </w:p>
        </w:tc>
        <w:tc>
          <w:tcPr>
            <w:tcW w:w="1905"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jc w:val="center"/>
              <w:rPr>
                <w:rFonts w:hint="eastAsia" w:eastAsia="宋体"/>
                <w:lang w:eastAsia="zh-CN"/>
              </w:rPr>
            </w:pPr>
          </w:p>
        </w:tc>
      </w:tr>
      <w:tr>
        <w:tblPrEx>
          <w:tblCellMar>
            <w:top w:w="0" w:type="dxa"/>
            <w:left w:w="108" w:type="dxa"/>
            <w:bottom w:w="0" w:type="dxa"/>
            <w:right w:w="108" w:type="dxa"/>
          </w:tblCellMar>
        </w:tblPrEx>
        <w:trPr>
          <w:cantSplit/>
          <w:trHeight w:val="745" w:hRule="atLeast"/>
        </w:trPr>
        <w:tc>
          <w:tcPr>
            <w:tcW w:w="101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13"/>
              <w:jc w:val="center"/>
              <w:rPr>
                <w:rFonts w:ascii="宋体" w:eastAsia="宋体" w:cs="宋体"/>
                <w:sz w:val="24"/>
                <w:szCs w:val="24"/>
              </w:rPr>
            </w:pPr>
            <w:r>
              <w:rPr>
                <w:rFonts w:hint="eastAsia" w:ascii="Calibri" w:hAnsi="Calibri" w:eastAsia="宋体" w:cs="Arial"/>
                <w:color w:val="auto"/>
                <w:kern w:val="0"/>
                <w:sz w:val="24"/>
                <w:szCs w:val="24"/>
                <w:u w:val="none"/>
                <w:lang w:val="en-US" w:eastAsia="zh-CN" w:bidi="ar-SA"/>
              </w:rPr>
              <w:t>Email</w:t>
            </w:r>
          </w:p>
        </w:tc>
        <w:tc>
          <w:tcPr>
            <w:tcW w:w="2200" w:type="dxa"/>
            <w:gridSpan w:val="3"/>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13"/>
              <w:jc w:val="center"/>
              <w:rPr>
                <w:rFonts w:ascii="宋体" w:eastAsia="宋体" w:cs="宋体"/>
                <w:sz w:val="24"/>
                <w:szCs w:val="24"/>
              </w:rPr>
            </w:pPr>
          </w:p>
          <w:p>
            <w:pPr>
              <w:pStyle w:val="13"/>
              <w:jc w:val="center"/>
            </w:pPr>
          </w:p>
        </w:tc>
        <w:tc>
          <w:tcPr>
            <w:tcW w:w="1744" w:type="dxa"/>
            <w:gridSpan w:val="3"/>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13"/>
              <w:jc w:val="center"/>
              <w:rPr>
                <w:rFonts w:hint="eastAsia"/>
                <w:lang w:eastAsia="zh-CN"/>
              </w:rPr>
            </w:pPr>
            <w:r>
              <w:rPr>
                <w:rFonts w:hint="eastAsia" w:ascii="宋体"/>
                <w:sz w:val="24"/>
              </w:rPr>
              <w:t>拟申请</w:t>
            </w:r>
            <w:r>
              <w:rPr>
                <w:rFonts w:hint="eastAsia" w:ascii="宋体"/>
                <w:sz w:val="24"/>
                <w:lang w:eastAsia="zh-CN"/>
              </w:rPr>
              <w:t>项目</w:t>
            </w:r>
          </w:p>
        </w:tc>
        <w:tc>
          <w:tcPr>
            <w:tcW w:w="3460" w:type="dxa"/>
            <w:gridSpan w:val="3"/>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jc w:val="center"/>
            </w:pPr>
          </w:p>
        </w:tc>
      </w:tr>
      <w:tr>
        <w:tblPrEx>
          <w:tblCellMar>
            <w:top w:w="0" w:type="dxa"/>
            <w:left w:w="108" w:type="dxa"/>
            <w:bottom w:w="0" w:type="dxa"/>
            <w:right w:w="108" w:type="dxa"/>
          </w:tblCellMar>
        </w:tblPrEx>
        <w:trPr>
          <w:cantSplit/>
          <w:trHeight w:val="760" w:hRule="atLeast"/>
        </w:trPr>
        <w:tc>
          <w:tcPr>
            <w:tcW w:w="1767" w:type="dxa"/>
            <w:gridSpan w:val="2"/>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13"/>
              <w:jc w:val="center"/>
              <w:rPr>
                <w:rFonts w:hint="eastAsia" w:ascii="Calibri" w:hAnsi="Calibri" w:eastAsia="宋体" w:cs="Arial"/>
                <w:color w:val="auto"/>
                <w:kern w:val="0"/>
                <w:sz w:val="24"/>
                <w:szCs w:val="24"/>
                <w:u w:val="none"/>
                <w:lang w:val="en-US" w:eastAsia="zh-CN" w:bidi="ar-SA"/>
              </w:rPr>
            </w:pPr>
            <w:r>
              <w:rPr>
                <w:rFonts w:hint="eastAsia" w:ascii="Calibri" w:hAnsi="Calibri" w:eastAsia="宋体" w:cs="Arial"/>
                <w:color w:val="auto"/>
                <w:kern w:val="0"/>
                <w:sz w:val="24"/>
                <w:szCs w:val="24"/>
                <w:u w:val="none"/>
                <w:lang w:val="en-US" w:eastAsia="zh-CN" w:bidi="ar-SA"/>
              </w:rPr>
              <w:t>英语水平</w:t>
            </w:r>
          </w:p>
        </w:tc>
        <w:tc>
          <w:tcPr>
            <w:tcW w:w="2439" w:type="dxa"/>
            <w:gridSpan w:val="4"/>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jc w:val="center"/>
              <w:rPr>
                <w:rFonts w:hint="eastAsia" w:eastAsia="宋体"/>
                <w:lang w:eastAsia="zh-CN"/>
              </w:rPr>
            </w:pPr>
          </w:p>
        </w:tc>
        <w:tc>
          <w:tcPr>
            <w:tcW w:w="2103" w:type="dxa"/>
            <w:gridSpan w:val="2"/>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jc w:val="center"/>
              <w:rPr>
                <w:rFonts w:hint="eastAsia" w:ascii="Calibri" w:hAnsi="Calibri" w:eastAsia="宋体" w:cs="Arial"/>
                <w:color w:val="auto"/>
                <w:kern w:val="0"/>
                <w:sz w:val="24"/>
                <w:szCs w:val="24"/>
                <w:u w:val="none"/>
                <w:lang w:val="en-US" w:eastAsia="zh-CN" w:bidi="ar-SA"/>
              </w:rPr>
            </w:pPr>
            <w:r>
              <w:rPr>
                <w:rFonts w:hint="eastAsia" w:ascii="Calibri" w:hAnsi="Calibri" w:eastAsia="宋体" w:cs="Arial"/>
                <w:color w:val="auto"/>
                <w:kern w:val="0"/>
                <w:sz w:val="24"/>
                <w:szCs w:val="24"/>
                <w:u w:val="none"/>
                <w:lang w:val="en-US" w:eastAsia="zh-CN" w:bidi="ar-SA"/>
              </w:rPr>
              <w:t>计算机水平</w:t>
            </w:r>
          </w:p>
        </w:tc>
        <w:tc>
          <w:tcPr>
            <w:tcW w:w="2105" w:type="dxa"/>
            <w:gridSpan w:val="2"/>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jc w:val="center"/>
              <w:rPr>
                <w:rFonts w:hint="eastAsia" w:eastAsia="宋体"/>
                <w:lang w:eastAsia="zh-CN"/>
              </w:rPr>
            </w:pPr>
          </w:p>
        </w:tc>
      </w:tr>
      <w:tr>
        <w:tblPrEx>
          <w:tblCellMar>
            <w:top w:w="0" w:type="dxa"/>
            <w:left w:w="108" w:type="dxa"/>
            <w:bottom w:w="0" w:type="dxa"/>
            <w:right w:w="108" w:type="dxa"/>
          </w:tblCellMar>
        </w:tblPrEx>
        <w:trPr>
          <w:cantSplit/>
          <w:trHeight w:val="805" w:hRule="atLeast"/>
        </w:trPr>
        <w:tc>
          <w:tcPr>
            <w:tcW w:w="1767" w:type="dxa"/>
            <w:gridSpan w:val="2"/>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13"/>
              <w:jc w:val="center"/>
              <w:rPr>
                <w:rFonts w:hint="eastAsia" w:ascii="Calibri" w:hAnsi="Calibri" w:eastAsia="宋体" w:cs="Arial"/>
                <w:color w:val="auto"/>
                <w:kern w:val="0"/>
                <w:sz w:val="24"/>
                <w:szCs w:val="24"/>
                <w:u w:val="none"/>
                <w:lang w:val="en-US" w:eastAsia="zh-CN" w:bidi="ar-SA"/>
              </w:rPr>
            </w:pPr>
            <w:r>
              <w:rPr>
                <w:rFonts w:hint="eastAsia" w:ascii="Calibri" w:hAnsi="Calibri" w:eastAsia="宋体" w:cs="Arial"/>
                <w:color w:val="auto"/>
                <w:kern w:val="0"/>
                <w:sz w:val="24"/>
                <w:szCs w:val="24"/>
                <w:u w:val="none"/>
                <w:lang w:val="en-US" w:eastAsia="zh-CN" w:bidi="ar-SA"/>
              </w:rPr>
              <w:t>家长姓名及联系方式</w:t>
            </w:r>
          </w:p>
        </w:tc>
        <w:tc>
          <w:tcPr>
            <w:tcW w:w="2439" w:type="dxa"/>
            <w:gridSpan w:val="4"/>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jc w:val="center"/>
            </w:pPr>
          </w:p>
        </w:tc>
        <w:tc>
          <w:tcPr>
            <w:tcW w:w="2103" w:type="dxa"/>
            <w:gridSpan w:val="2"/>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jc w:val="center"/>
              <w:rPr>
                <w:rFonts w:hint="eastAsia" w:ascii="Calibri" w:hAnsi="Calibri" w:eastAsia="宋体" w:cs="Arial"/>
                <w:color w:val="auto"/>
                <w:kern w:val="0"/>
                <w:sz w:val="24"/>
                <w:szCs w:val="24"/>
                <w:u w:val="none"/>
                <w:lang w:val="en-US" w:eastAsia="zh-CN" w:bidi="ar-SA"/>
              </w:rPr>
            </w:pPr>
            <w:r>
              <w:rPr>
                <w:rFonts w:hint="eastAsia" w:ascii="Calibri" w:hAnsi="Calibri" w:eastAsia="宋体" w:cs="Arial"/>
                <w:color w:val="auto"/>
                <w:kern w:val="0"/>
                <w:sz w:val="24"/>
                <w:szCs w:val="24"/>
                <w:u w:val="none"/>
                <w:lang w:val="en-US" w:eastAsia="zh-CN" w:bidi="ar-SA"/>
              </w:rPr>
              <w:t>家庭年收入</w:t>
            </w:r>
          </w:p>
        </w:tc>
        <w:tc>
          <w:tcPr>
            <w:tcW w:w="2105" w:type="dxa"/>
            <w:gridSpan w:val="2"/>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top"/>
          </w:tcPr>
          <w:p/>
        </w:tc>
      </w:tr>
      <w:tr>
        <w:tblPrEx>
          <w:tblCellMar>
            <w:top w:w="0" w:type="dxa"/>
            <w:left w:w="108" w:type="dxa"/>
            <w:bottom w:w="0" w:type="dxa"/>
            <w:right w:w="108" w:type="dxa"/>
          </w:tblCellMar>
        </w:tblPrEx>
        <w:trPr>
          <w:cantSplit/>
          <w:trHeight w:val="970" w:hRule="atLeast"/>
        </w:trPr>
        <w:tc>
          <w:tcPr>
            <w:tcW w:w="1767" w:type="dxa"/>
            <w:gridSpan w:val="2"/>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13"/>
              <w:widowControl/>
              <w:jc w:val="center"/>
              <w:rPr>
                <w:rFonts w:hint="eastAsia" w:ascii="Calibri" w:hAnsi="Calibri" w:eastAsia="宋体" w:cs="Arial"/>
                <w:color w:val="auto"/>
                <w:kern w:val="0"/>
                <w:sz w:val="24"/>
                <w:szCs w:val="24"/>
                <w:u w:val="none"/>
                <w:lang w:val="en-US" w:eastAsia="zh-CN" w:bidi="ar-SA"/>
              </w:rPr>
            </w:pPr>
            <w:r>
              <w:rPr>
                <w:rFonts w:hint="eastAsia" w:ascii="Calibri" w:hAnsi="Calibri" w:eastAsia="宋体" w:cs="Arial"/>
                <w:color w:val="auto"/>
                <w:kern w:val="0"/>
                <w:sz w:val="24"/>
                <w:szCs w:val="24"/>
                <w:u w:val="none"/>
                <w:lang w:val="en-US" w:eastAsia="zh-CN" w:bidi="ar-SA"/>
              </w:rPr>
              <w:t>拟交换学习专业</w:t>
            </w:r>
          </w:p>
        </w:tc>
        <w:tc>
          <w:tcPr>
            <w:tcW w:w="2439" w:type="dxa"/>
            <w:gridSpan w:val="4"/>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13"/>
              <w:jc w:val="center"/>
            </w:pPr>
          </w:p>
        </w:tc>
        <w:tc>
          <w:tcPr>
            <w:tcW w:w="2103" w:type="dxa"/>
            <w:gridSpan w:val="2"/>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13"/>
              <w:jc w:val="center"/>
              <w:rPr>
                <w:rFonts w:hint="eastAsia" w:ascii="Calibri" w:hAnsi="Calibri" w:eastAsia="宋体" w:cs="Arial"/>
                <w:color w:val="auto"/>
                <w:kern w:val="0"/>
                <w:sz w:val="24"/>
                <w:szCs w:val="24"/>
                <w:u w:val="none"/>
                <w:lang w:val="en-US" w:eastAsia="zh-CN" w:bidi="ar-SA"/>
              </w:rPr>
            </w:pPr>
            <w:r>
              <w:rPr>
                <w:rFonts w:hint="eastAsia" w:ascii="Calibri" w:hAnsi="Calibri" w:eastAsia="宋体" w:cs="Arial"/>
                <w:color w:val="auto"/>
                <w:kern w:val="0"/>
                <w:sz w:val="24"/>
                <w:szCs w:val="24"/>
                <w:u w:val="none"/>
                <w:lang w:val="en-US" w:eastAsia="zh-CN" w:bidi="ar-SA"/>
              </w:rPr>
              <w:t>拟参加交换</w:t>
            </w:r>
          </w:p>
          <w:p>
            <w:pPr>
              <w:pStyle w:val="13"/>
              <w:jc w:val="center"/>
              <w:rPr>
                <w:rFonts w:hint="eastAsia" w:ascii="Calibri" w:hAnsi="Calibri" w:eastAsia="宋体" w:cs="Arial"/>
                <w:color w:val="auto"/>
                <w:kern w:val="0"/>
                <w:sz w:val="24"/>
                <w:szCs w:val="24"/>
                <w:u w:val="none"/>
                <w:lang w:val="en-US" w:eastAsia="zh-CN" w:bidi="ar-SA"/>
              </w:rPr>
            </w:pPr>
            <w:r>
              <w:rPr>
                <w:rFonts w:hint="eastAsia" w:ascii="Calibri" w:hAnsi="Calibri" w:eastAsia="宋体" w:cs="Arial"/>
                <w:color w:val="auto"/>
                <w:kern w:val="0"/>
                <w:sz w:val="24"/>
                <w:szCs w:val="24"/>
                <w:u w:val="none"/>
                <w:lang w:val="en-US" w:eastAsia="zh-CN" w:bidi="ar-SA"/>
              </w:rPr>
              <w:t>学习时间</w:t>
            </w:r>
          </w:p>
        </w:tc>
        <w:tc>
          <w:tcPr>
            <w:tcW w:w="2105" w:type="dxa"/>
            <w:gridSpan w:val="2"/>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13"/>
            </w:pPr>
          </w:p>
        </w:tc>
      </w:tr>
      <w:tr>
        <w:tblPrEx>
          <w:tblCellMar>
            <w:top w:w="0" w:type="dxa"/>
            <w:left w:w="108" w:type="dxa"/>
            <w:bottom w:w="0" w:type="dxa"/>
            <w:right w:w="108" w:type="dxa"/>
          </w:tblCellMar>
        </w:tblPrEx>
        <w:trPr>
          <w:cantSplit/>
          <w:trHeight w:val="2279" w:hRule="atLeast"/>
        </w:trPr>
        <w:tc>
          <w:tcPr>
            <w:tcW w:w="1767" w:type="dxa"/>
            <w:gridSpan w:val="2"/>
            <w:tcBorders>
              <w:top w:val="single" w:color="000000" w:sz="4" w:space="0"/>
              <w:left w:val="single" w:color="000000" w:sz="4" w:space="0"/>
              <w:bottom w:val="single" w:color="000000" w:sz="4" w:space="0"/>
              <w:right w:val="single" w:color="000000" w:sz="4" w:space="0"/>
            </w:tcBorders>
            <w:noWrap w:val="0"/>
            <w:tcMar>
              <w:top w:w="80" w:type="dxa"/>
              <w:left w:w="188" w:type="dxa"/>
              <w:bottom w:w="80" w:type="dxa"/>
              <w:right w:w="80" w:type="dxa"/>
            </w:tcMar>
            <w:vAlign w:val="center"/>
          </w:tcPr>
          <w:p>
            <w:pPr>
              <w:pStyle w:val="13"/>
              <w:widowControl/>
              <w:jc w:val="center"/>
            </w:pPr>
            <w:r>
              <w:rPr>
                <w:rFonts w:hint="eastAsia" w:ascii="Calibri" w:hAnsi="Calibri" w:eastAsia="宋体" w:cs="Arial"/>
                <w:color w:val="auto"/>
                <w:kern w:val="0"/>
                <w:sz w:val="24"/>
                <w:szCs w:val="24"/>
                <w:u w:val="none"/>
                <w:lang w:val="en-US" w:eastAsia="zh-CN" w:bidi="ar-SA"/>
              </w:rPr>
              <w:t>申请理由</w:t>
            </w:r>
          </w:p>
        </w:tc>
        <w:tc>
          <w:tcPr>
            <w:tcW w:w="6647" w:type="dxa"/>
            <w:gridSpan w:val="8"/>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top"/>
          </w:tcPr>
          <w:p>
            <w:pPr>
              <w:pStyle w:val="13"/>
              <w:widowControl/>
              <w:jc w:val="left"/>
              <w:rPr>
                <w:rFonts w:ascii="宋体" w:eastAsia="宋体" w:cs="宋体"/>
                <w:sz w:val="24"/>
                <w:szCs w:val="24"/>
              </w:rPr>
            </w:pPr>
          </w:p>
          <w:p>
            <w:pPr>
              <w:pStyle w:val="13"/>
              <w:widowControl/>
              <w:jc w:val="left"/>
              <w:rPr>
                <w:rFonts w:ascii="宋体" w:eastAsia="宋体" w:cs="宋体"/>
                <w:sz w:val="24"/>
                <w:szCs w:val="24"/>
              </w:rPr>
            </w:pPr>
          </w:p>
          <w:p>
            <w:pPr>
              <w:pStyle w:val="13"/>
              <w:widowControl/>
              <w:jc w:val="left"/>
              <w:rPr>
                <w:rFonts w:ascii="宋体" w:eastAsia="宋体" w:cs="宋体"/>
                <w:sz w:val="24"/>
                <w:szCs w:val="24"/>
              </w:rPr>
            </w:pPr>
          </w:p>
          <w:p>
            <w:pPr>
              <w:pStyle w:val="13"/>
              <w:widowControl/>
              <w:jc w:val="left"/>
              <w:rPr>
                <w:rFonts w:ascii="宋体" w:eastAsia="宋体" w:cs="宋体"/>
                <w:sz w:val="24"/>
                <w:szCs w:val="24"/>
              </w:rPr>
            </w:pPr>
          </w:p>
          <w:p>
            <w:pPr>
              <w:pStyle w:val="13"/>
              <w:widowControl/>
              <w:jc w:val="left"/>
              <w:rPr>
                <w:rFonts w:ascii="宋体" w:eastAsia="宋体" w:cs="宋体"/>
                <w:sz w:val="24"/>
                <w:szCs w:val="24"/>
              </w:rPr>
            </w:pPr>
          </w:p>
          <w:p>
            <w:pPr>
              <w:pStyle w:val="13"/>
              <w:widowControl/>
              <w:jc w:val="left"/>
            </w:pPr>
          </w:p>
        </w:tc>
      </w:tr>
      <w:tr>
        <w:tblPrEx>
          <w:tblCellMar>
            <w:top w:w="0" w:type="dxa"/>
            <w:left w:w="108" w:type="dxa"/>
            <w:bottom w:w="0" w:type="dxa"/>
            <w:right w:w="108" w:type="dxa"/>
          </w:tblCellMar>
        </w:tblPrEx>
        <w:trPr>
          <w:cantSplit/>
          <w:trHeight w:val="1783" w:hRule="atLeast"/>
        </w:trPr>
        <w:tc>
          <w:tcPr>
            <w:tcW w:w="1767" w:type="dxa"/>
            <w:gridSpan w:val="2"/>
            <w:tcBorders>
              <w:top w:val="single" w:color="000000" w:sz="4" w:space="0"/>
              <w:left w:val="single" w:color="000000" w:sz="4" w:space="0"/>
              <w:bottom w:val="single" w:color="000000" w:sz="4" w:space="0"/>
              <w:right w:val="single" w:color="000000" w:sz="4" w:space="0"/>
            </w:tcBorders>
            <w:noWrap w:val="0"/>
            <w:tcMar>
              <w:top w:w="80" w:type="dxa"/>
              <w:left w:w="188" w:type="dxa"/>
              <w:bottom w:w="80" w:type="dxa"/>
              <w:right w:w="80" w:type="dxa"/>
            </w:tcMar>
            <w:vAlign w:val="center"/>
          </w:tcPr>
          <w:p>
            <w:pPr>
              <w:pStyle w:val="13"/>
              <w:jc w:val="center"/>
              <w:rPr>
                <w:rFonts w:hint="eastAsia" w:eastAsia="宋体"/>
                <w:lang w:val="en-US" w:eastAsia="zh-CN"/>
              </w:rPr>
            </w:pPr>
            <w:r>
              <w:rPr>
                <w:rFonts w:hint="eastAsia" w:ascii="宋体" w:eastAsia="宋体" w:cs="宋体"/>
                <w:sz w:val="24"/>
                <w:szCs w:val="24"/>
                <w:lang w:val="en-US" w:eastAsia="zh-CN"/>
              </w:rPr>
              <w:t>辅导员意见</w:t>
            </w:r>
          </w:p>
        </w:tc>
        <w:tc>
          <w:tcPr>
            <w:tcW w:w="6647" w:type="dxa"/>
            <w:gridSpan w:val="8"/>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top"/>
          </w:tcPr>
          <w:p>
            <w:pPr>
              <w:pStyle w:val="13"/>
              <w:widowControl/>
              <w:jc w:val="left"/>
              <w:rPr>
                <w:rFonts w:ascii="宋体" w:eastAsia="宋体" w:cs="宋体"/>
                <w:sz w:val="24"/>
                <w:szCs w:val="24"/>
              </w:rPr>
            </w:pPr>
          </w:p>
        </w:tc>
      </w:tr>
      <w:tr>
        <w:tblPrEx>
          <w:tblCellMar>
            <w:top w:w="0" w:type="dxa"/>
            <w:left w:w="108" w:type="dxa"/>
            <w:bottom w:w="0" w:type="dxa"/>
            <w:right w:w="108" w:type="dxa"/>
          </w:tblCellMar>
        </w:tblPrEx>
        <w:trPr>
          <w:cantSplit/>
          <w:trHeight w:val="2297" w:hRule="atLeast"/>
        </w:trPr>
        <w:tc>
          <w:tcPr>
            <w:tcW w:w="1767" w:type="dxa"/>
            <w:gridSpan w:val="2"/>
            <w:tcBorders>
              <w:top w:val="single" w:color="000000" w:sz="4" w:space="0"/>
              <w:left w:val="single" w:color="000000" w:sz="4" w:space="0"/>
              <w:bottom w:val="single" w:color="000000" w:sz="4" w:space="0"/>
              <w:right w:val="single" w:color="000000" w:sz="4" w:space="0"/>
            </w:tcBorders>
            <w:noWrap w:val="0"/>
            <w:tcMar>
              <w:top w:w="80" w:type="dxa"/>
              <w:left w:w="188" w:type="dxa"/>
              <w:bottom w:w="80" w:type="dxa"/>
              <w:right w:w="80" w:type="dxa"/>
            </w:tcMar>
            <w:vAlign w:val="center"/>
          </w:tcPr>
          <w:p>
            <w:pPr>
              <w:pStyle w:val="13"/>
              <w:jc w:val="center"/>
            </w:pPr>
            <w:r>
              <w:rPr>
                <w:rFonts w:ascii="宋体" w:eastAsia="宋体" w:cs="宋体"/>
                <w:sz w:val="24"/>
                <w:szCs w:val="24"/>
              </w:rPr>
              <w:t>学院意见</w:t>
            </w:r>
          </w:p>
        </w:tc>
        <w:tc>
          <w:tcPr>
            <w:tcW w:w="6647" w:type="dxa"/>
            <w:gridSpan w:val="8"/>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top"/>
          </w:tcPr>
          <w:p>
            <w:pPr>
              <w:pStyle w:val="13"/>
              <w:widowControl/>
              <w:jc w:val="left"/>
              <w:rPr>
                <w:rFonts w:ascii="宋体" w:eastAsia="宋体" w:cs="宋体"/>
                <w:sz w:val="24"/>
                <w:szCs w:val="24"/>
              </w:rPr>
            </w:pPr>
          </w:p>
          <w:p>
            <w:pPr>
              <w:pStyle w:val="13"/>
              <w:widowControl/>
              <w:jc w:val="left"/>
              <w:rPr>
                <w:rFonts w:ascii="宋体" w:eastAsia="宋体" w:cs="宋体"/>
                <w:sz w:val="24"/>
                <w:szCs w:val="24"/>
              </w:rPr>
            </w:pPr>
          </w:p>
          <w:p>
            <w:pPr>
              <w:pStyle w:val="13"/>
              <w:widowControl/>
              <w:jc w:val="left"/>
              <w:rPr>
                <w:rFonts w:ascii="宋体" w:eastAsia="宋体" w:cs="宋体"/>
                <w:sz w:val="24"/>
                <w:szCs w:val="24"/>
              </w:rPr>
            </w:pPr>
          </w:p>
          <w:p>
            <w:pPr>
              <w:pStyle w:val="13"/>
              <w:widowControl/>
              <w:jc w:val="left"/>
              <w:rPr>
                <w:rFonts w:ascii="宋体" w:eastAsia="宋体" w:cs="宋体"/>
                <w:sz w:val="24"/>
                <w:szCs w:val="24"/>
              </w:rPr>
            </w:pPr>
          </w:p>
          <w:p>
            <w:pPr>
              <w:pStyle w:val="13"/>
              <w:widowControl/>
              <w:jc w:val="left"/>
              <w:rPr>
                <w:rFonts w:ascii="宋体" w:eastAsia="宋体" w:cs="宋体"/>
                <w:sz w:val="24"/>
                <w:szCs w:val="24"/>
              </w:rPr>
            </w:pPr>
          </w:p>
          <w:p>
            <w:pPr>
              <w:pStyle w:val="13"/>
              <w:widowControl/>
              <w:jc w:val="left"/>
              <w:rPr>
                <w:rFonts w:ascii="宋体" w:eastAsia="宋体" w:cs="宋体"/>
                <w:sz w:val="24"/>
                <w:szCs w:val="24"/>
              </w:rPr>
            </w:pPr>
            <w:r>
              <w:rPr>
                <w:rFonts w:ascii="宋体" w:eastAsia="宋体" w:cs="宋体"/>
                <w:sz w:val="24"/>
                <w:szCs w:val="24"/>
              </w:rPr>
              <w:t xml:space="preserve">   </w:t>
            </w:r>
            <w:r>
              <w:rPr>
                <w:rFonts w:hint="eastAsia" w:ascii="宋体" w:eastAsia="宋体" w:cs="宋体"/>
                <w:sz w:val="24"/>
                <w:szCs w:val="24"/>
                <w:lang w:eastAsia="zh-CN"/>
              </w:rPr>
              <w:t>教学院长</w:t>
            </w:r>
            <w:r>
              <w:rPr>
                <w:rFonts w:hint="eastAsia" w:ascii="宋体" w:eastAsia="宋体" w:cs="宋体"/>
                <w:sz w:val="24"/>
                <w:szCs w:val="24"/>
                <w:lang w:val="en-US" w:eastAsia="zh-CN"/>
              </w:rPr>
              <w:t>/外事院长</w:t>
            </w:r>
            <w:r>
              <w:rPr>
                <w:rFonts w:ascii="宋体" w:eastAsia="宋体" w:cs="宋体"/>
                <w:sz w:val="24"/>
                <w:szCs w:val="24"/>
              </w:rPr>
              <w:t>（签字、</w:t>
            </w:r>
            <w:r>
              <w:rPr>
                <w:rFonts w:hint="eastAsia" w:ascii="宋体" w:eastAsia="宋体" w:cs="宋体"/>
                <w:sz w:val="24"/>
                <w:szCs w:val="24"/>
                <w:lang w:eastAsia="zh-CN"/>
              </w:rPr>
              <w:t>学院</w:t>
            </w:r>
            <w:r>
              <w:rPr>
                <w:rFonts w:ascii="宋体" w:eastAsia="宋体" w:cs="宋体"/>
                <w:sz w:val="24"/>
                <w:szCs w:val="24"/>
              </w:rPr>
              <w:t>盖章）：</w:t>
            </w:r>
          </w:p>
          <w:p>
            <w:pPr>
              <w:pStyle w:val="13"/>
              <w:widowControl/>
              <w:jc w:val="left"/>
            </w:pPr>
            <w:r>
              <w:rPr>
                <w:rFonts w:ascii="宋体" w:eastAsia="宋体" w:cs="宋体"/>
                <w:sz w:val="24"/>
                <w:szCs w:val="24"/>
              </w:rPr>
              <w:t xml:space="preserve">                               </w:t>
            </w:r>
            <w:r>
              <w:rPr>
                <w:rFonts w:hint="eastAsia" w:ascii="宋体" w:eastAsia="宋体" w:cs="宋体"/>
                <w:sz w:val="24"/>
                <w:szCs w:val="24"/>
                <w:lang w:val="en-US" w:eastAsia="zh-CN"/>
              </w:rPr>
              <w:t xml:space="preserve"> </w:t>
            </w:r>
            <w:r>
              <w:rPr>
                <w:rFonts w:ascii="宋体" w:eastAsia="宋体" w:cs="宋体"/>
                <w:sz w:val="24"/>
                <w:szCs w:val="24"/>
              </w:rPr>
              <w:t xml:space="preserve">  年     月     日</w:t>
            </w:r>
          </w:p>
        </w:tc>
      </w:tr>
    </w:tbl>
    <w:p>
      <w:pPr>
        <w:keepNext w:val="0"/>
        <w:keepLines w:val="0"/>
        <w:widowControl/>
        <w:suppressLineNumbers w:val="0"/>
        <w:jc w:val="left"/>
      </w:pPr>
      <w:r>
        <w:rPr>
          <w:rFonts w:hint="eastAsia" w:ascii="宋体" w:hAnsi="宋体" w:eastAsia="宋体" w:cs="宋体"/>
          <w:b/>
          <w:bCs w:val="0"/>
          <w:color w:val="000000"/>
          <w:kern w:val="0"/>
          <w:sz w:val="24"/>
          <w:szCs w:val="24"/>
          <w:lang w:val="en-US" w:eastAsia="zh-CN" w:bidi="ar"/>
        </w:rPr>
        <w:t>注：本表一式两份，一份国际处留存，一份学院留存。</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F7FFAFFF" w:usb1="E9DFFFFF" w:usb2="0000003F" w:usb3="00000000" w:csb0="003F01FF" w:csb1="00000000"/>
  </w:font>
  <w:font w:name="Helvetica">
    <w:altName w:val="Arial"/>
    <w:panose1 w:val="020B0604020202020204"/>
    <w:charset w:val="00"/>
    <w:family w:val="swiss"/>
    <w:pitch w:val="default"/>
    <w:sig w:usb0="E0002AFF" w:usb1="C0007843" w:usb2="00000009" w:usb3="00000000" w:csb0="0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3162A"/>
    <w:multiLevelType w:val="multilevel"/>
    <w:tmpl w:val="2903162A"/>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58D4DD01"/>
    <w:multiLevelType w:val="singleLevel"/>
    <w:tmpl w:val="58D4DD01"/>
    <w:lvl w:ilvl="0" w:tentative="0">
      <w:start w:val="3"/>
      <w:numFmt w:val="decimal"/>
      <w:suff w:val="nothing"/>
      <w:lvlText w:val="%1."/>
      <w:lvlJc w:val="left"/>
    </w:lvl>
  </w:abstractNum>
  <w:abstractNum w:abstractNumId="2">
    <w:nsid w:val="59D6AAD2"/>
    <w:multiLevelType w:val="singleLevel"/>
    <w:tmpl w:val="59D6AAD2"/>
    <w:lvl w:ilvl="0" w:tentative="0">
      <w:start w:val="1"/>
      <w:numFmt w:val="bullet"/>
      <w:lvlText w:val=""/>
      <w:lvlJc w:val="left"/>
      <w:pPr>
        <w:ind w:left="420" w:hanging="420"/>
      </w:pPr>
      <w:rPr>
        <w:rFonts w:hint="default" w:ascii="Wingdings" w:hAnsi="Wingdings"/>
      </w:rPr>
    </w:lvl>
  </w:abstractNum>
  <w:abstractNum w:abstractNumId="3">
    <w:nsid w:val="5E9D76A0"/>
    <w:multiLevelType w:val="multilevel"/>
    <w:tmpl w:val="5E9D76A0"/>
    <w:lvl w:ilvl="0" w:tentative="0">
      <w:start w:val="1"/>
      <w:numFmt w:val="bullet"/>
      <w:lvlText w:val=""/>
      <w:lvlJc w:val="left"/>
      <w:pPr>
        <w:ind w:left="1066" w:hanging="420"/>
      </w:pPr>
      <w:rPr>
        <w:rFonts w:hint="default" w:ascii="Wingdings" w:hAnsi="Wingdings"/>
      </w:rPr>
    </w:lvl>
    <w:lvl w:ilvl="1" w:tentative="0">
      <w:start w:val="1"/>
      <w:numFmt w:val="bullet"/>
      <w:lvlText w:val=""/>
      <w:lvlJc w:val="left"/>
      <w:pPr>
        <w:ind w:left="1486" w:hanging="420"/>
      </w:pPr>
      <w:rPr>
        <w:rFonts w:hint="default" w:ascii="Wingdings" w:hAnsi="Wingdings"/>
      </w:rPr>
    </w:lvl>
    <w:lvl w:ilvl="2" w:tentative="0">
      <w:start w:val="1"/>
      <w:numFmt w:val="bullet"/>
      <w:lvlText w:val=""/>
      <w:lvlJc w:val="left"/>
      <w:pPr>
        <w:ind w:left="1906" w:hanging="420"/>
      </w:pPr>
      <w:rPr>
        <w:rFonts w:hint="default" w:ascii="Wingdings" w:hAnsi="Wingdings"/>
      </w:rPr>
    </w:lvl>
    <w:lvl w:ilvl="3" w:tentative="0">
      <w:start w:val="1"/>
      <w:numFmt w:val="bullet"/>
      <w:lvlText w:val=""/>
      <w:lvlJc w:val="left"/>
      <w:pPr>
        <w:ind w:left="2326" w:hanging="420"/>
      </w:pPr>
      <w:rPr>
        <w:rFonts w:hint="default" w:ascii="Wingdings" w:hAnsi="Wingdings"/>
      </w:rPr>
    </w:lvl>
    <w:lvl w:ilvl="4" w:tentative="0">
      <w:start w:val="1"/>
      <w:numFmt w:val="bullet"/>
      <w:lvlText w:val=""/>
      <w:lvlJc w:val="left"/>
      <w:pPr>
        <w:ind w:left="2746" w:hanging="420"/>
      </w:pPr>
      <w:rPr>
        <w:rFonts w:hint="default" w:ascii="Wingdings" w:hAnsi="Wingdings"/>
      </w:rPr>
    </w:lvl>
    <w:lvl w:ilvl="5" w:tentative="0">
      <w:start w:val="1"/>
      <w:numFmt w:val="bullet"/>
      <w:lvlText w:val=""/>
      <w:lvlJc w:val="left"/>
      <w:pPr>
        <w:ind w:left="3166" w:hanging="420"/>
      </w:pPr>
      <w:rPr>
        <w:rFonts w:hint="default" w:ascii="Wingdings" w:hAnsi="Wingdings"/>
      </w:rPr>
    </w:lvl>
    <w:lvl w:ilvl="6" w:tentative="0">
      <w:start w:val="1"/>
      <w:numFmt w:val="bullet"/>
      <w:lvlText w:val=""/>
      <w:lvlJc w:val="left"/>
      <w:pPr>
        <w:ind w:left="3586" w:hanging="420"/>
      </w:pPr>
      <w:rPr>
        <w:rFonts w:hint="default" w:ascii="Wingdings" w:hAnsi="Wingdings"/>
      </w:rPr>
    </w:lvl>
    <w:lvl w:ilvl="7" w:tentative="0">
      <w:start w:val="1"/>
      <w:numFmt w:val="bullet"/>
      <w:lvlText w:val=""/>
      <w:lvlJc w:val="left"/>
      <w:pPr>
        <w:ind w:left="4006" w:hanging="420"/>
      </w:pPr>
      <w:rPr>
        <w:rFonts w:hint="default" w:ascii="Wingdings" w:hAnsi="Wingdings"/>
      </w:rPr>
    </w:lvl>
    <w:lvl w:ilvl="8" w:tentative="0">
      <w:start w:val="1"/>
      <w:numFmt w:val="bullet"/>
      <w:lvlText w:val=""/>
      <w:lvlJc w:val="left"/>
      <w:pPr>
        <w:ind w:left="4426" w:hanging="420"/>
      </w:pPr>
      <w:rPr>
        <w:rFonts w:hint="default" w:ascii="Wingdings" w:hAnsi="Wingding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694"/>
    <w:rsid w:val="00025871"/>
    <w:rsid w:val="00081894"/>
    <w:rsid w:val="000A0FFF"/>
    <w:rsid w:val="000B1619"/>
    <w:rsid w:val="000F15DE"/>
    <w:rsid w:val="000F761C"/>
    <w:rsid w:val="00123DDA"/>
    <w:rsid w:val="001E57A1"/>
    <w:rsid w:val="00240346"/>
    <w:rsid w:val="003031E6"/>
    <w:rsid w:val="00380B54"/>
    <w:rsid w:val="003B68AC"/>
    <w:rsid w:val="003F7DDC"/>
    <w:rsid w:val="004105D5"/>
    <w:rsid w:val="004518A1"/>
    <w:rsid w:val="004E32E9"/>
    <w:rsid w:val="00562B84"/>
    <w:rsid w:val="00573183"/>
    <w:rsid w:val="005C51A3"/>
    <w:rsid w:val="00686C24"/>
    <w:rsid w:val="00690FF6"/>
    <w:rsid w:val="006D079D"/>
    <w:rsid w:val="006D2694"/>
    <w:rsid w:val="0071544C"/>
    <w:rsid w:val="00744270"/>
    <w:rsid w:val="00773364"/>
    <w:rsid w:val="007A5228"/>
    <w:rsid w:val="007F53B7"/>
    <w:rsid w:val="008139C8"/>
    <w:rsid w:val="00897D8F"/>
    <w:rsid w:val="008F740B"/>
    <w:rsid w:val="00917BFF"/>
    <w:rsid w:val="0097163C"/>
    <w:rsid w:val="009C30BE"/>
    <w:rsid w:val="00A32591"/>
    <w:rsid w:val="00A47B7F"/>
    <w:rsid w:val="00AA1670"/>
    <w:rsid w:val="00AD5B51"/>
    <w:rsid w:val="00B117BE"/>
    <w:rsid w:val="00B14590"/>
    <w:rsid w:val="00B4563B"/>
    <w:rsid w:val="00BA1AFA"/>
    <w:rsid w:val="00C020BF"/>
    <w:rsid w:val="00C63433"/>
    <w:rsid w:val="00CB6428"/>
    <w:rsid w:val="00CD40A2"/>
    <w:rsid w:val="00CF4AF0"/>
    <w:rsid w:val="00D75C5A"/>
    <w:rsid w:val="00D92F44"/>
    <w:rsid w:val="00DD69CC"/>
    <w:rsid w:val="00E15434"/>
    <w:rsid w:val="00E15C31"/>
    <w:rsid w:val="00EA20F5"/>
    <w:rsid w:val="00EA3D14"/>
    <w:rsid w:val="00ED0D2B"/>
    <w:rsid w:val="00EE3CF4"/>
    <w:rsid w:val="00FA38DE"/>
    <w:rsid w:val="00FB07F7"/>
    <w:rsid w:val="01F37F1F"/>
    <w:rsid w:val="03B14ACC"/>
    <w:rsid w:val="0427616F"/>
    <w:rsid w:val="09511B17"/>
    <w:rsid w:val="0BD80A71"/>
    <w:rsid w:val="0CD90055"/>
    <w:rsid w:val="0DE0539C"/>
    <w:rsid w:val="12D23D0F"/>
    <w:rsid w:val="170D4252"/>
    <w:rsid w:val="1A5438C5"/>
    <w:rsid w:val="1A873C75"/>
    <w:rsid w:val="1AC659A1"/>
    <w:rsid w:val="1EAC08A5"/>
    <w:rsid w:val="1F093028"/>
    <w:rsid w:val="1F2318AA"/>
    <w:rsid w:val="1F801AAE"/>
    <w:rsid w:val="1FB731E8"/>
    <w:rsid w:val="20572251"/>
    <w:rsid w:val="21394E45"/>
    <w:rsid w:val="21FB2D54"/>
    <w:rsid w:val="226B297D"/>
    <w:rsid w:val="24967505"/>
    <w:rsid w:val="25677480"/>
    <w:rsid w:val="261C442E"/>
    <w:rsid w:val="261C4B81"/>
    <w:rsid w:val="275E37D4"/>
    <w:rsid w:val="297D6023"/>
    <w:rsid w:val="2A3A018E"/>
    <w:rsid w:val="2A9467E4"/>
    <w:rsid w:val="2B976700"/>
    <w:rsid w:val="2F2935D9"/>
    <w:rsid w:val="2F763882"/>
    <w:rsid w:val="30F5743F"/>
    <w:rsid w:val="31F93729"/>
    <w:rsid w:val="31FC006B"/>
    <w:rsid w:val="3A26382B"/>
    <w:rsid w:val="3C17395A"/>
    <w:rsid w:val="41402599"/>
    <w:rsid w:val="428E2CD0"/>
    <w:rsid w:val="4324129F"/>
    <w:rsid w:val="45D72D73"/>
    <w:rsid w:val="4624389A"/>
    <w:rsid w:val="487070F7"/>
    <w:rsid w:val="50136724"/>
    <w:rsid w:val="509F4AC6"/>
    <w:rsid w:val="514229E0"/>
    <w:rsid w:val="52351051"/>
    <w:rsid w:val="52381C76"/>
    <w:rsid w:val="534B0BCA"/>
    <w:rsid w:val="568402DF"/>
    <w:rsid w:val="600D29F9"/>
    <w:rsid w:val="63822A77"/>
    <w:rsid w:val="64542F96"/>
    <w:rsid w:val="65751013"/>
    <w:rsid w:val="668D014C"/>
    <w:rsid w:val="68B0341E"/>
    <w:rsid w:val="69227290"/>
    <w:rsid w:val="6D612EB9"/>
    <w:rsid w:val="6F5C1552"/>
    <w:rsid w:val="705A25C7"/>
    <w:rsid w:val="72102FD3"/>
    <w:rsid w:val="73166F4C"/>
    <w:rsid w:val="784847E9"/>
    <w:rsid w:val="7B9A03B2"/>
    <w:rsid w:val="7F73370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alloon Text"/>
    <w:basedOn w:val="1"/>
    <w:link w:val="15"/>
    <w:uiPriority w:val="0"/>
    <w:rPr>
      <w:sz w:val="18"/>
      <w:szCs w:val="18"/>
    </w:rPr>
  </w:style>
  <w:style w:type="paragraph" w:styleId="3">
    <w:name w:val="footer"/>
    <w:basedOn w:val="1"/>
    <w:link w:val="14"/>
    <w:uiPriority w:val="0"/>
    <w:pPr>
      <w:tabs>
        <w:tab w:val="center" w:pos="4153"/>
        <w:tab w:val="right" w:pos="8306"/>
      </w:tabs>
      <w:snapToGrid w:val="0"/>
      <w:jc w:val="left"/>
    </w:pPr>
    <w:rPr>
      <w:sz w:val="18"/>
      <w:szCs w:val="18"/>
    </w:rPr>
  </w:style>
  <w:style w:type="paragraph" w:styleId="4">
    <w:name w:val="header"/>
    <w:basedOn w:val="1"/>
    <w:link w:val="16"/>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table" w:styleId="7">
    <w:name w:val="Table Grid"/>
    <w:basedOn w:val="6"/>
    <w:uiPriority w:val="0"/>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character" w:styleId="10">
    <w:name w:val="Hyperlink"/>
    <w:basedOn w:val="8"/>
    <w:uiPriority w:val="0"/>
  </w:style>
  <w:style w:type="paragraph" w:customStyle="1" w:styleId="11">
    <w:name w:val="正文1"/>
    <w:uiPriority w:val="0"/>
    <w:rPr>
      <w:rFonts w:ascii="Arial Unicode MS" w:hAnsi="Arial Unicode MS" w:eastAsia="Helvetica" w:cs="Arial Unicode MS"/>
      <w:color w:val="000000"/>
      <w:sz w:val="22"/>
      <w:szCs w:val="22"/>
      <w:lang w:val="zh-Hans" w:eastAsia="zh-Hans" w:bidi="ar-SA"/>
    </w:rPr>
  </w:style>
  <w:style w:type="paragraph" w:styleId="12">
    <w:name w:val="List Paragraph"/>
    <w:basedOn w:val="1"/>
    <w:qFormat/>
    <w:uiPriority w:val="34"/>
    <w:pPr>
      <w:widowControl/>
      <w:spacing w:after="160" w:line="259" w:lineRule="auto"/>
      <w:ind w:left="720"/>
      <w:contextualSpacing/>
      <w:jc w:val="left"/>
    </w:pPr>
    <w:rPr>
      <w:rFonts w:ascii="Calibri" w:hAnsi="Calibri" w:eastAsia="等线" w:cs="Times New Roman"/>
      <w:kern w:val="0"/>
      <w:sz w:val="22"/>
      <w:szCs w:val="22"/>
      <w:lang w:val="en-GB"/>
    </w:rPr>
  </w:style>
  <w:style w:type="paragraph" w:customStyle="1" w:styleId="13">
    <w:name w:val="正文 A"/>
    <w:uiPriority w:val="0"/>
    <w:pPr>
      <w:widowControl w:val="0"/>
      <w:jc w:val="both"/>
    </w:pPr>
    <w:rPr>
      <w:rFonts w:eastAsia="Times New Roman"/>
      <w:color w:val="000000"/>
      <w:kern w:val="2"/>
      <w:sz w:val="21"/>
      <w:szCs w:val="21"/>
      <w:u w:val="none" w:color="000000"/>
      <w:lang w:val="en-US" w:eastAsia="zh-CN" w:bidi="ar-SA"/>
    </w:rPr>
  </w:style>
  <w:style w:type="character" w:customStyle="1" w:styleId="14">
    <w:name w:val="页脚 字符"/>
    <w:link w:val="3"/>
    <w:uiPriority w:val="0"/>
    <w:rPr>
      <w:rFonts w:ascii="Calibri" w:hAnsi="Calibri"/>
      <w:kern w:val="2"/>
      <w:sz w:val="18"/>
      <w:szCs w:val="18"/>
    </w:rPr>
  </w:style>
  <w:style w:type="character" w:customStyle="1" w:styleId="15">
    <w:name w:val="批注框文本 字符"/>
    <w:link w:val="2"/>
    <w:uiPriority w:val="0"/>
    <w:rPr>
      <w:rFonts w:ascii="Calibri" w:hAnsi="Calibri"/>
      <w:kern w:val="2"/>
      <w:sz w:val="18"/>
      <w:szCs w:val="18"/>
    </w:rPr>
  </w:style>
  <w:style w:type="character" w:customStyle="1" w:styleId="16">
    <w:name w:val="页眉 字符"/>
    <w:link w:val="4"/>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428</Words>
  <Characters>2443</Characters>
  <Lines>20</Lines>
  <Paragraphs>5</Paragraphs>
  <TotalTime>9</TotalTime>
  <ScaleCrop>false</ScaleCrop>
  <LinksUpToDate>false</LinksUpToDate>
  <CharactersWithSpaces>2866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江盈</cp:lastModifiedBy>
  <cp:lastPrinted>2019-06-12T09:58:00Z</cp:lastPrinted>
  <dcterms:modified xsi:type="dcterms:W3CDTF">2020-11-18T03:11:56Z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