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jc w:val="center"/>
        <w:textAlignment w:val="auto"/>
        <w:rPr>
          <w:rFonts w:ascii="黑体" w:cs="黑体" w:eastAsia="黑体" w:hAnsi="黑体" w:hint="eastAsia"/>
          <w:b/>
          <w:bCs/>
          <w:color w:val="auto"/>
          <w:sz w:val="28"/>
          <w:szCs w:val="28"/>
        </w:rPr>
      </w:pPr>
      <w:r>
        <w:rPr>
          <w:rFonts w:ascii="黑体" w:cs="黑体" w:eastAsia="黑体" w:hAnsi="黑体" w:hint="eastAsia"/>
          <w:b/>
          <w:bCs/>
          <w:color w:val="auto"/>
          <w:sz w:val="28"/>
          <w:szCs w:val="28"/>
        </w:rPr>
        <w:t>美国乔治华盛顿大学应用金融学（MSAF）</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jc w:val="center"/>
        <w:textAlignment w:val="auto"/>
        <w:rPr>
          <w:rFonts w:ascii="黑体" w:cs="黑体" w:eastAsia="黑体" w:hAnsi="黑体" w:hint="eastAsia"/>
          <w:b/>
          <w:bCs/>
          <w:color w:val="auto"/>
          <w:sz w:val="28"/>
          <w:szCs w:val="28"/>
        </w:rPr>
      </w:pPr>
      <w:r>
        <w:rPr>
          <w:rFonts w:ascii="黑体" w:cs="黑体" w:eastAsia="黑体" w:hAnsi="黑体" w:hint="eastAsia"/>
          <w:b/>
          <w:bCs/>
          <w:color w:val="auto"/>
          <w:sz w:val="28"/>
          <w:szCs w:val="28"/>
        </w:rPr>
        <w:t>校际合作硕士项目招生简章</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jc w:val="center"/>
        <w:textAlignment w:val="auto"/>
        <w:rPr>
          <w:rFonts w:hint="eastAsia"/>
          <w:b/>
          <w:bCs/>
          <w:color w:val="auto"/>
          <w:sz w:val="28"/>
          <w:szCs w:val="28"/>
        </w:rPr>
      </w:pP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黑体" w:cs="黑体" w:eastAsia="黑体" w:hAnsi="黑体" w:hint="eastAsia"/>
          <w:color w:val="auto"/>
        </w:rPr>
      </w:pPr>
      <w:r>
        <w:rPr>
          <w:rFonts w:ascii="黑体" w:cs="黑体" w:eastAsia="黑体" w:hAnsi="黑体" w:hint="eastAsia"/>
          <w:b/>
          <w:bCs/>
          <w:color w:val="auto"/>
          <w:sz w:val="24"/>
          <w:szCs w:val="24"/>
          <w:lang w:val="en-US" w:eastAsia="zh-CN"/>
        </w:rPr>
        <w:t>一、</w:t>
      </w:r>
      <w:r>
        <w:rPr>
          <w:rFonts w:ascii="黑体" w:cs="黑体" w:eastAsia="黑体" w:hAnsi="黑体" w:hint="eastAsia"/>
          <w:b/>
          <w:bCs/>
          <w:color w:val="auto"/>
          <w:sz w:val="24"/>
          <w:szCs w:val="24"/>
        </w:rPr>
        <w:t>项目简介</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黑体" w:cs="黑体" w:eastAsia="黑体" w:hAnsi="黑体" w:hint="eastAsia"/>
          <w:b/>
          <w:bCs/>
          <w:color w:val="auto"/>
        </w:rPr>
      </w:pPr>
      <w:r>
        <w:rPr>
          <w:rFonts w:ascii="黑体" w:cs="黑体" w:eastAsia="黑体" w:hAnsi="黑体" w:hint="eastAsia"/>
          <w:b/>
          <w:bCs/>
          <w:color w:val="auto"/>
        </w:rPr>
        <w:t>学校简介</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color w:val="auto"/>
        </w:rPr>
      </w:pPr>
      <w:r>
        <w:rPr>
          <w:rFonts w:hint="eastAsia"/>
          <w:color w:val="auto"/>
        </w:rPr>
        <w:t>乔治</w:t>
      </w:r>
      <w:r>
        <w:rPr>
          <w:color w:val="auto"/>
        </w:rPr>
        <w:t>·</w:t>
      </w:r>
      <w:r>
        <w:rPr>
          <w:rFonts w:hint="eastAsia"/>
          <w:color w:val="auto"/>
        </w:rPr>
        <w:t>华盛顿大学（</w:t>
      </w:r>
      <w:r>
        <w:rPr>
          <w:color w:val="auto"/>
        </w:rPr>
        <w:t>George Washington University</w:t>
      </w:r>
      <w:r>
        <w:rPr>
          <w:rFonts w:hint="eastAsia"/>
          <w:color w:val="auto"/>
        </w:rPr>
        <w:t>），以下简称</w:t>
      </w:r>
      <w:r>
        <w:rPr>
          <w:color w:val="auto"/>
        </w:rPr>
        <w:t>GWU</w:t>
      </w:r>
      <w:r>
        <w:rPr>
          <w:rFonts w:hint="eastAsia"/>
          <w:color w:val="auto"/>
        </w:rPr>
        <w:t>或者</w:t>
      </w:r>
      <w:r>
        <w:rPr>
          <w:color w:val="auto"/>
        </w:rPr>
        <w:t>GW</w:t>
      </w:r>
      <w:r>
        <w:rPr>
          <w:rFonts w:hint="eastAsia"/>
          <w:color w:val="auto"/>
        </w:rPr>
        <w:t>，是美国著名的私立综合性大学。学校位于美国首都</w:t>
      </w:r>
      <w:r>
        <w:rPr>
          <w:color w:val="auto"/>
        </w:rPr>
        <w:fldChar w:fldCharType="begin"/>
      </w:r>
      <w:r>
        <w:rPr>
          <w:color w:val="auto"/>
        </w:rPr>
        <w:instrText xml:space="preserve"> HYPERLINK "https://baike.baidu.com/item/%E5%8D%8E%E7%9B%9B%E9%A1%BF/374" </w:instrText>
      </w:r>
      <w:r>
        <w:rPr>
          <w:color w:val="auto"/>
        </w:rPr>
        <w:fldChar w:fldCharType="separate"/>
      </w:r>
      <w:r>
        <w:rPr>
          <w:rFonts w:hint="eastAsia"/>
          <w:color w:val="auto"/>
        </w:rPr>
        <w:t>华盛顿</w:t>
      </w:r>
      <w:r>
        <w:rPr>
          <w:rFonts w:hint="eastAsia"/>
          <w:color w:val="auto"/>
        </w:rPr>
        <w:fldChar w:fldCharType="end"/>
      </w:r>
      <w:r>
        <w:rPr>
          <w:rFonts w:hint="eastAsia"/>
          <w:color w:val="auto"/>
        </w:rPr>
        <w:t>，比邻美国国务院、世界银行、国际货币基金组织，距白宫只有几个街区。乔治</w:t>
      </w:r>
      <w:r>
        <w:rPr>
          <w:color w:val="auto"/>
        </w:rPr>
        <w:t>·</w:t>
      </w:r>
      <w:r>
        <w:rPr>
          <w:rFonts w:hint="eastAsia"/>
          <w:color w:val="auto"/>
        </w:rPr>
        <w:t>华盛顿大学是在</w:t>
      </w:r>
      <w:r>
        <w:rPr>
          <w:color w:val="auto"/>
        </w:rPr>
        <w:t>1821</w:t>
      </w:r>
      <w:r>
        <w:rPr>
          <w:rFonts w:hint="eastAsia"/>
          <w:color w:val="auto"/>
        </w:rPr>
        <w:t>年经由国会法案为了纪念国父</w:t>
      </w:r>
      <w:r>
        <w:rPr>
          <w:color w:val="auto"/>
        </w:rPr>
        <w:fldChar w:fldCharType="begin"/>
      </w:r>
      <w:r>
        <w:rPr>
          <w:color w:val="auto"/>
        </w:rPr>
        <w:instrText xml:space="preserve"> HYPERLINK "https://baike.baidu.com/item/%E4%B9%94%E6%B2%BB%C2%B7%E5%8D%8E%E7%9B%9B%E9%A1%BF/25610" </w:instrText>
      </w:r>
      <w:r>
        <w:rPr>
          <w:color w:val="auto"/>
        </w:rPr>
        <w:fldChar w:fldCharType="separate"/>
      </w:r>
      <w:r>
        <w:rPr>
          <w:rFonts w:hint="eastAsia"/>
          <w:color w:val="auto"/>
        </w:rPr>
        <w:t>乔治</w:t>
      </w:r>
      <w:r>
        <w:rPr>
          <w:color w:val="auto"/>
        </w:rPr>
        <w:t>·</w:t>
      </w:r>
      <w:r>
        <w:rPr>
          <w:rFonts w:hint="eastAsia"/>
          <w:color w:val="auto"/>
        </w:rPr>
        <w:t>华盛顿</w:t>
      </w:r>
      <w:r>
        <w:rPr>
          <w:rFonts w:hint="eastAsia"/>
          <w:color w:val="auto"/>
        </w:rPr>
        <w:fldChar w:fldCharType="end"/>
      </w:r>
      <w:r>
        <w:rPr>
          <w:rFonts w:hint="eastAsia"/>
          <w:color w:val="auto"/>
        </w:rPr>
        <w:t>创立的。乔治</w:t>
      </w:r>
      <w:r>
        <w:rPr>
          <w:color w:val="auto"/>
        </w:rPr>
        <w:t>·</w:t>
      </w:r>
      <w:r>
        <w:rPr>
          <w:rFonts w:hint="eastAsia"/>
          <w:color w:val="auto"/>
        </w:rPr>
        <w:t>华盛顿大学经过近</w:t>
      </w:r>
      <w:r>
        <w:rPr>
          <w:color w:val="auto"/>
        </w:rPr>
        <w:t>200</w:t>
      </w:r>
      <w:r>
        <w:rPr>
          <w:rFonts w:hint="eastAsia"/>
          <w:color w:val="auto"/>
        </w:rPr>
        <w:t>年的风雨洗礼，已发展成为一所在世界范围内享有盛誉的综合研究型大学，培养了数以万计的商政界领袖，拥有</w:t>
      </w:r>
      <w:r>
        <w:rPr>
          <w:color w:val="auto"/>
        </w:rPr>
        <w:t>22</w:t>
      </w:r>
      <w:r>
        <w:rPr>
          <w:rFonts w:hint="eastAsia"/>
          <w:color w:val="auto"/>
        </w:rPr>
        <w:t>万多名校友</w:t>
      </w:r>
      <w:r>
        <w:rPr>
          <w:rFonts w:hint="default"/>
          <w:color w:val="auto"/>
        </w:rPr>
        <w:t>，</w:t>
      </w:r>
      <w:r>
        <w:rPr>
          <w:rFonts w:hint="eastAsia"/>
          <w:color w:val="auto"/>
          <w:lang w:val="en-US" w:eastAsia="zh-CN"/>
        </w:rPr>
        <w:t>2021年QS美国大学排名TOP50（#45）</w:t>
      </w:r>
      <w:r>
        <w:rPr>
          <w:rFonts w:hint="eastAsia"/>
          <w:color w:val="auto"/>
        </w:rPr>
        <w:t>，因其出色的教育水平，被选为“全美最受欢迎的</w:t>
      </w:r>
      <w:r>
        <w:rPr>
          <w:color w:val="auto"/>
        </w:rPr>
        <w:t>25</w:t>
      </w:r>
      <w:r>
        <w:rPr>
          <w:rFonts w:hint="eastAsia"/>
          <w:color w:val="auto"/>
        </w:rPr>
        <w:t>所大学”之一。</w:t>
      </w:r>
      <w:r>
        <w:rPr>
          <w:color w:val="auto"/>
        </w:rPr>
        <w:t xml:space="preserve"> </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黑体" w:cs="黑体" w:eastAsia="黑体" w:hAnsi="黑体" w:hint="eastAsia"/>
          <w:b/>
          <w:bCs/>
          <w:color w:val="auto"/>
        </w:rPr>
      </w:pPr>
      <w:r>
        <w:rPr>
          <w:rFonts w:ascii="黑体" w:cs="黑体" w:eastAsia="黑体" w:hAnsi="黑体" w:hint="eastAsia"/>
          <w:b/>
          <w:bCs/>
          <w:color w:val="auto"/>
        </w:rPr>
        <w:t>学院简介</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hint="eastAsia"/>
          <w:color w:val="auto"/>
        </w:rPr>
      </w:pPr>
      <w:r>
        <w:rPr>
          <w:rFonts w:hint="eastAsia"/>
          <w:color w:val="auto"/>
        </w:rPr>
        <w:t>GWU商学院</w:t>
      </w:r>
      <w:r>
        <w:rPr>
          <w:rFonts w:hint="eastAsia"/>
          <w:color w:val="auto"/>
          <w:lang w:val="en-US" w:eastAsia="zh-CN"/>
        </w:rPr>
        <w:t>在QS美国商学院</w:t>
      </w:r>
      <w:r>
        <w:rPr>
          <w:rFonts w:hint="eastAsia"/>
          <w:color w:val="auto"/>
        </w:rPr>
        <w:t>排名第</w:t>
      </w:r>
      <w:r>
        <w:rPr>
          <w:rFonts w:hint="eastAsia"/>
          <w:color w:val="auto"/>
          <w:lang w:val="en-US" w:eastAsia="zh-CN"/>
        </w:rPr>
        <w:t>22</w:t>
      </w:r>
      <w:r>
        <w:rPr>
          <w:rFonts w:hint="eastAsia"/>
          <w:color w:val="auto"/>
        </w:rPr>
        <w:t>名，经AACSB认证。GWU拥有众多杰出校友。GWU的 MSAF项目开设于1993年，是美国最早开设的MSAF项目之一，毕业生就业薪水全美排名第7，毕业生就业于高盛、美林等知名投行及世界银行、国际货币组织等国际金融机构。GWU的MSAF项目以培养实战精英著称，为了培养具备一流金融实务知识和能力的复合型国际金融人才。项目侧重金融界所需的实际技能和知识，强调金融知识的实际应用，为项目学生的职业规划和就业提供良好的发展机会。</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黑体" w:cs="黑体" w:eastAsia="黑体" w:hAnsi="黑体" w:hint="eastAsia"/>
          <w:b/>
          <w:bCs/>
          <w:color w:val="auto"/>
        </w:rPr>
      </w:pPr>
      <w:r>
        <w:rPr>
          <w:rFonts w:ascii="黑体" w:cs="黑体" w:eastAsia="黑体" w:hAnsi="黑体" w:hint="eastAsia"/>
          <w:b/>
          <w:bCs/>
          <w:color w:val="auto"/>
        </w:rPr>
        <w:t>专业简介</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jc w:val="both"/>
        <w:textAlignment w:val="auto"/>
        <w:rPr>
          <w:rFonts w:hint="eastAsia"/>
          <w:color w:val="auto"/>
        </w:rPr>
      </w:pPr>
      <w:r>
        <w:rPr>
          <w:rFonts w:hint="eastAsia"/>
          <w:color w:val="auto"/>
        </w:rPr>
        <w:t>乔治华盛顿大学商学院（GWSB）的应用金融学硕士（MSAF）项目培养了金融领域的领导者。该项目的重点是风险管理，金融工程，银行，公司财务以及证券投资组合分析和管理。它旨在将量化和计算机技能与金融理论</w:t>
      </w:r>
      <w:r>
        <w:rPr>
          <w:rFonts w:hint="eastAsia"/>
          <w:color w:val="auto"/>
          <w:lang w:val="en-US" w:eastAsia="zh-CN"/>
        </w:rPr>
        <w:t>和</w:t>
      </w:r>
      <w:r>
        <w:rPr>
          <w:rFonts w:hint="eastAsia"/>
          <w:color w:val="auto"/>
        </w:rPr>
        <w:t>应用相结合</w:t>
      </w:r>
      <w:r>
        <w:rPr>
          <w:rFonts w:hint="eastAsia"/>
          <w:color w:val="auto"/>
          <w:lang w:eastAsia="zh-CN"/>
        </w:rPr>
        <w:t>；</w:t>
      </w:r>
      <w:r>
        <w:rPr>
          <w:rFonts w:hint="eastAsia"/>
          <w:b/>
          <w:bCs/>
          <w:color w:val="auto"/>
        </w:rPr>
        <w:t>MSAF项目符合STEM项目的资格</w:t>
      </w:r>
      <w:r>
        <w:rPr>
          <w:rFonts w:hint="eastAsia"/>
          <w:b/>
          <w:bCs/>
          <w:color w:val="auto"/>
          <w:lang w:eastAsia="zh-CN"/>
        </w:rPr>
        <w:t>，</w:t>
      </w:r>
      <w:r>
        <w:rPr>
          <w:rFonts w:hint="eastAsia"/>
          <w:b/>
          <w:bCs/>
          <w:color w:val="auto"/>
        </w:rPr>
        <w:t>项目即日起面向全国招生，欢迎有意向</w:t>
      </w:r>
      <w:r>
        <w:rPr>
          <w:rFonts w:hint="eastAsia"/>
          <w:b/>
          <w:bCs/>
          <w:color w:val="auto"/>
          <w:lang w:val="en-US" w:eastAsia="zh-CN"/>
        </w:rPr>
        <w:t>2022</w:t>
      </w:r>
      <w:r>
        <w:rPr>
          <w:rFonts w:hint="eastAsia"/>
          <w:b/>
          <w:bCs/>
          <w:color w:val="auto"/>
        </w:rPr>
        <w:t>年出国留学的学生报名申请。</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color w:val="auto"/>
        </w:rPr>
      </w:pPr>
      <w:r>
        <w:rPr>
          <w:rFonts w:ascii="黑体" w:cs="黑体" w:eastAsia="黑体" w:hAnsi="黑体" w:hint="eastAsia"/>
          <w:b/>
          <w:bCs/>
          <w:color w:val="auto"/>
          <w:sz w:val="24"/>
          <w:szCs w:val="24"/>
          <w:lang w:val="en-US" w:eastAsia="zh-CN"/>
        </w:rPr>
        <w:t>二、</w:t>
      </w:r>
      <w:r>
        <w:rPr>
          <w:rFonts w:ascii="黑体" w:cs="黑体" w:eastAsia="黑体" w:hAnsi="黑体" w:hint="eastAsia"/>
          <w:b/>
          <w:bCs/>
          <w:color w:val="auto"/>
          <w:sz w:val="24"/>
          <w:szCs w:val="24"/>
        </w:rPr>
        <w:t>项目特色</w:t>
      </w:r>
      <w:r>
        <w:rPr>
          <w:color w:val="auto"/>
        </w:rPr>
        <w:t xml:space="preserve"> </w:t>
      </w:r>
    </w:p>
    <w:p>
      <w:pPr>
        <w:pStyle w:val="style0"/>
        <w:keepNext w:val="false"/>
        <w:keepLines w:val="false"/>
        <w:pageBreakBefore w:val="false"/>
        <w:widowControl w:val="false"/>
        <w:numPr>
          <w:ilvl w:val="0"/>
          <w:numId w:val="1"/>
        </w:numPr>
        <w:kinsoku/>
        <w:wordWrap/>
        <w:overflowPunct/>
        <w:topLinePunct w:val="false"/>
        <w:autoSpaceDE/>
        <w:autoSpaceDN/>
        <w:bidi w:val="false"/>
        <w:adjustRightInd/>
        <w:snapToGrid/>
        <w:spacing w:lineRule="auto" w:line="360"/>
        <w:ind w:left="425" w:leftChars="0" w:hanging="425" w:firstLineChars="0"/>
        <w:textAlignment w:val="auto"/>
        <w:rPr>
          <w:b/>
          <w:bCs/>
          <w:color w:val="auto"/>
        </w:rPr>
      </w:pPr>
      <w:r>
        <w:rPr>
          <w:rFonts w:hint="eastAsia"/>
          <w:b/>
          <w:bCs/>
          <w:color w:val="auto"/>
        </w:rPr>
        <w:t>国内预科学习，美国教授授课，提前适应国外教学；</w:t>
      </w:r>
    </w:p>
    <w:p>
      <w:pPr>
        <w:pStyle w:val="style0"/>
        <w:keepNext w:val="false"/>
        <w:keepLines w:val="false"/>
        <w:pageBreakBefore w:val="false"/>
        <w:widowControl w:val="false"/>
        <w:numPr>
          <w:ilvl w:val="0"/>
          <w:numId w:val="1"/>
        </w:numPr>
        <w:kinsoku/>
        <w:wordWrap/>
        <w:overflowPunct/>
        <w:topLinePunct w:val="false"/>
        <w:autoSpaceDE/>
        <w:autoSpaceDN/>
        <w:bidi w:val="false"/>
        <w:adjustRightInd/>
        <w:snapToGrid/>
        <w:spacing w:lineRule="auto" w:line="360"/>
        <w:ind w:left="425" w:leftChars="0" w:hanging="425" w:firstLineChars="0"/>
        <w:textAlignment w:val="auto"/>
        <w:rPr>
          <w:color w:val="auto"/>
        </w:rPr>
      </w:pPr>
      <w:r>
        <w:rPr>
          <w:rFonts w:hint="eastAsia"/>
          <w:color w:val="auto"/>
        </w:rPr>
        <w:t>便捷的留学途径，条件符合的学生，GWU直接录取；</w:t>
      </w:r>
    </w:p>
    <w:p>
      <w:pPr>
        <w:pStyle w:val="style0"/>
        <w:keepNext w:val="false"/>
        <w:keepLines w:val="false"/>
        <w:pageBreakBefore w:val="false"/>
        <w:widowControl w:val="false"/>
        <w:numPr>
          <w:ilvl w:val="0"/>
          <w:numId w:val="1"/>
        </w:numPr>
        <w:kinsoku/>
        <w:wordWrap/>
        <w:overflowPunct/>
        <w:topLinePunct w:val="false"/>
        <w:autoSpaceDE/>
        <w:autoSpaceDN/>
        <w:bidi w:val="false"/>
        <w:adjustRightInd/>
        <w:snapToGrid/>
        <w:spacing w:lineRule="auto" w:line="360"/>
        <w:ind w:left="425" w:leftChars="0" w:hanging="425" w:firstLineChars="0"/>
        <w:textAlignment w:val="auto"/>
        <w:rPr>
          <w:color w:val="auto"/>
        </w:rPr>
      </w:pPr>
      <w:r>
        <w:rPr>
          <w:rFonts w:hint="eastAsia"/>
          <w:color w:val="auto"/>
        </w:rPr>
        <w:t>联合培养模式灵活，本科、研究生均可参加；应届、往届不受限制；</w:t>
      </w:r>
    </w:p>
    <w:p>
      <w:pPr>
        <w:pStyle w:val="style0"/>
        <w:keepNext w:val="false"/>
        <w:keepLines w:val="false"/>
        <w:pageBreakBefore w:val="false"/>
        <w:widowControl w:val="false"/>
        <w:numPr>
          <w:ilvl w:val="0"/>
          <w:numId w:val="1"/>
        </w:numPr>
        <w:kinsoku/>
        <w:wordWrap/>
        <w:overflowPunct/>
        <w:topLinePunct w:val="false"/>
        <w:autoSpaceDE/>
        <w:autoSpaceDN/>
        <w:bidi w:val="false"/>
        <w:adjustRightInd/>
        <w:snapToGrid/>
        <w:spacing w:lineRule="auto" w:line="360"/>
        <w:ind w:left="425" w:leftChars="0" w:hanging="425" w:firstLineChars="0"/>
        <w:textAlignment w:val="auto"/>
        <w:rPr>
          <w:color w:val="auto"/>
        </w:rPr>
      </w:pPr>
      <w:r>
        <w:rPr>
          <w:rFonts w:hint="eastAsia"/>
          <w:color w:val="auto"/>
        </w:rPr>
        <w:t>不受专业和工作经验限制，国内国外无缝衔接，降低留学风险；</w:t>
      </w:r>
    </w:p>
    <w:p>
      <w:pPr>
        <w:pStyle w:val="style0"/>
        <w:keepNext w:val="false"/>
        <w:keepLines w:val="false"/>
        <w:pageBreakBefore w:val="false"/>
        <w:widowControl w:val="false"/>
        <w:numPr>
          <w:ilvl w:val="0"/>
          <w:numId w:val="1"/>
        </w:numPr>
        <w:kinsoku/>
        <w:wordWrap/>
        <w:overflowPunct/>
        <w:topLinePunct w:val="false"/>
        <w:autoSpaceDE/>
        <w:autoSpaceDN/>
        <w:bidi w:val="false"/>
        <w:adjustRightInd/>
        <w:snapToGrid/>
        <w:spacing w:lineRule="auto" w:line="360"/>
        <w:ind w:left="425" w:leftChars="0" w:hanging="425" w:firstLineChars="0"/>
        <w:textAlignment w:val="auto"/>
        <w:rPr>
          <w:b/>
          <w:bCs/>
          <w:color w:val="auto"/>
        </w:rPr>
      </w:pPr>
      <w:r>
        <w:rPr>
          <w:rFonts w:hint="eastAsia"/>
          <w:b/>
          <w:bCs/>
          <w:color w:val="auto"/>
        </w:rPr>
        <w:t>国外可以一年毕业，学制短</w:t>
      </w:r>
      <w:r>
        <w:rPr>
          <w:rFonts w:hint="eastAsia"/>
          <w:b/>
          <w:bCs/>
          <w:color w:val="auto"/>
          <w:lang w:eastAsia="zh-CN"/>
        </w:rPr>
        <w:t>，</w:t>
      </w:r>
      <w:r>
        <w:rPr>
          <w:rFonts w:hint="eastAsia"/>
          <w:b/>
          <w:bCs/>
          <w:color w:val="auto"/>
        </w:rPr>
        <w:t>节省留学费用；</w:t>
      </w:r>
    </w:p>
    <w:p>
      <w:pPr>
        <w:pStyle w:val="style0"/>
        <w:keepNext w:val="false"/>
        <w:keepLines w:val="false"/>
        <w:pageBreakBefore w:val="false"/>
        <w:widowControl w:val="false"/>
        <w:numPr>
          <w:ilvl w:val="0"/>
          <w:numId w:val="1"/>
        </w:numPr>
        <w:kinsoku/>
        <w:wordWrap/>
        <w:overflowPunct/>
        <w:topLinePunct w:val="false"/>
        <w:autoSpaceDE/>
        <w:autoSpaceDN/>
        <w:bidi w:val="false"/>
        <w:adjustRightInd/>
        <w:snapToGrid/>
        <w:spacing w:lineRule="auto" w:line="360"/>
        <w:ind w:left="425" w:leftChars="0" w:hanging="425" w:firstLineChars="0"/>
        <w:textAlignment w:val="auto"/>
        <w:rPr>
          <w:color w:val="auto"/>
        </w:rPr>
      </w:pPr>
      <w:r>
        <w:rPr>
          <w:rFonts w:hint="eastAsia"/>
          <w:color w:val="auto"/>
        </w:rPr>
        <w:t>项目重视应用导向培养，有助于提高学生应用金融知识的能力；</w:t>
      </w:r>
    </w:p>
    <w:p>
      <w:pPr>
        <w:pStyle w:val="style0"/>
        <w:keepNext w:val="false"/>
        <w:keepLines w:val="false"/>
        <w:pageBreakBefore w:val="false"/>
        <w:widowControl w:val="false"/>
        <w:numPr>
          <w:ilvl w:val="0"/>
          <w:numId w:val="1"/>
        </w:numPr>
        <w:kinsoku/>
        <w:wordWrap/>
        <w:overflowPunct/>
        <w:topLinePunct w:val="false"/>
        <w:autoSpaceDE/>
        <w:autoSpaceDN/>
        <w:bidi w:val="false"/>
        <w:adjustRightInd/>
        <w:snapToGrid/>
        <w:spacing w:lineRule="auto" w:line="360"/>
        <w:ind w:left="425" w:leftChars="0" w:hanging="425" w:firstLineChars="0"/>
        <w:textAlignment w:val="auto"/>
        <w:rPr>
          <w:b/>
          <w:bCs/>
          <w:color w:val="auto"/>
        </w:rPr>
      </w:pPr>
      <w:r>
        <w:rPr>
          <w:rFonts w:hint="eastAsia"/>
          <w:b/>
          <w:bCs/>
          <w:color w:val="auto"/>
        </w:rPr>
        <w:t>毕业享受 STEM OPT</w:t>
      </w:r>
      <w:r>
        <w:rPr>
          <w:rFonts w:hint="eastAsia"/>
          <w:b/>
          <w:bCs/>
          <w:color w:val="auto"/>
          <w:lang w:val="en-US" w:eastAsia="zh-CN"/>
        </w:rPr>
        <w:t xml:space="preserve"> </w:t>
      </w:r>
      <w:r>
        <w:rPr>
          <w:rFonts w:hint="eastAsia"/>
          <w:b/>
          <w:bCs/>
          <w:color w:val="auto"/>
        </w:rPr>
        <w:t>实习签证许可；</w:t>
      </w:r>
    </w:p>
    <w:p>
      <w:pPr>
        <w:pStyle w:val="style0"/>
        <w:keepNext w:val="false"/>
        <w:keepLines w:val="false"/>
        <w:pageBreakBefore w:val="false"/>
        <w:widowControl w:val="false"/>
        <w:numPr>
          <w:ilvl w:val="0"/>
          <w:numId w:val="1"/>
        </w:numPr>
        <w:kinsoku/>
        <w:wordWrap/>
        <w:overflowPunct/>
        <w:topLinePunct w:val="false"/>
        <w:autoSpaceDE/>
        <w:autoSpaceDN/>
        <w:bidi w:val="false"/>
        <w:adjustRightInd/>
        <w:snapToGrid/>
        <w:spacing w:lineRule="auto" w:line="360"/>
        <w:ind w:left="425" w:leftChars="0" w:hanging="425" w:firstLineChars="0"/>
        <w:textAlignment w:val="auto"/>
        <w:rPr>
          <w:color w:val="auto"/>
        </w:rPr>
      </w:pPr>
      <w:r>
        <w:rPr>
          <w:rFonts w:hint="eastAsia"/>
          <w:color w:val="auto"/>
        </w:rPr>
        <w:t>GWU校友资源强，汇聚高盛、美林、摩根集团等世界顶尖金融机构的校友资源，有利于学生就业。</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color w:val="auto"/>
        </w:rPr>
      </w:pPr>
      <w:r>
        <w:rPr>
          <w:rFonts w:ascii="黑体" w:cs="黑体" w:eastAsia="黑体" w:hAnsi="黑体" w:hint="eastAsia"/>
          <w:b/>
          <w:bCs/>
          <w:color w:val="auto"/>
          <w:sz w:val="24"/>
          <w:szCs w:val="24"/>
          <w:lang w:val="en-US" w:eastAsia="zh-CN"/>
        </w:rPr>
        <w:t>三、</w:t>
      </w:r>
      <w:r>
        <w:rPr>
          <w:rFonts w:ascii="黑体" w:cs="黑体" w:eastAsia="黑体" w:hAnsi="黑体" w:hint="eastAsia"/>
          <w:b/>
          <w:bCs/>
          <w:color w:val="auto"/>
          <w:sz w:val="24"/>
          <w:szCs w:val="24"/>
        </w:rPr>
        <w:t>招生对象</w:t>
      </w:r>
      <w:r>
        <w:rPr>
          <w:rFonts w:hint="eastAsia"/>
          <w:b/>
          <w:bCs/>
          <w:color w:val="auto"/>
          <w:sz w:val="24"/>
          <w:szCs w:val="24"/>
        </w:rPr>
        <w:t xml:space="preserve"> </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color w:val="auto"/>
        </w:rPr>
      </w:pPr>
      <w:r>
        <w:rPr>
          <w:rFonts w:hint="eastAsia"/>
          <w:color w:val="auto"/>
          <w:lang w:val="en-US" w:eastAsia="zh-CN"/>
        </w:rPr>
        <w:t>1、</w:t>
      </w:r>
      <w:r>
        <w:rPr>
          <w:rFonts w:hint="eastAsia"/>
          <w:color w:val="auto"/>
        </w:rPr>
        <w:t>大学在读研究生一年级学生</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color w:val="auto"/>
        </w:rPr>
      </w:pPr>
      <w:r>
        <w:rPr>
          <w:rFonts w:hint="eastAsia"/>
          <w:color w:val="auto"/>
        </w:rPr>
        <w:t>2、大学在读本科四年级学生</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hint="eastAsia"/>
          <w:color w:val="auto"/>
        </w:rPr>
      </w:pPr>
      <w:r>
        <w:rPr>
          <w:rFonts w:hint="eastAsia"/>
          <w:color w:val="auto"/>
        </w:rPr>
        <w:t>3、有意出国留学的本科及以上往届毕业生</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黑体" w:cs="黑体" w:eastAsia="黑体" w:hAnsi="黑体" w:hint="eastAsia"/>
          <w:b/>
          <w:bCs/>
          <w:color w:val="auto"/>
          <w:sz w:val="24"/>
          <w:szCs w:val="24"/>
          <w:lang w:val="en-US" w:eastAsia="zh-CN"/>
        </w:rPr>
      </w:pPr>
      <w:r>
        <w:rPr>
          <w:rFonts w:ascii="黑体" w:cs="黑体" w:eastAsia="黑体" w:hAnsi="黑体" w:hint="eastAsia"/>
          <w:b/>
          <w:bCs/>
          <w:color w:val="auto"/>
          <w:sz w:val="24"/>
          <w:szCs w:val="24"/>
          <w:lang w:val="en-US" w:eastAsia="zh-CN"/>
        </w:rPr>
        <w:t>四、招生名额</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hint="default"/>
          <w:color w:val="auto"/>
          <w:lang w:val="en-US" w:eastAsia="zh-CN"/>
        </w:rPr>
      </w:pPr>
      <w:r>
        <w:rPr>
          <w:rFonts w:hint="eastAsia"/>
          <w:color w:val="auto"/>
          <w:lang w:val="en-US" w:eastAsia="zh-CN"/>
        </w:rPr>
        <w:t>项目计划招生30人</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黑体" w:cs="黑体" w:eastAsia="黑体" w:hAnsi="黑体" w:hint="eastAsia"/>
          <w:b/>
          <w:bCs/>
          <w:color w:val="auto"/>
          <w:sz w:val="24"/>
          <w:szCs w:val="24"/>
          <w:lang w:val="en-US" w:eastAsia="zh-CN"/>
        </w:rPr>
      </w:pPr>
      <w:r>
        <w:rPr>
          <w:rFonts w:ascii="黑体" w:cs="黑体" w:eastAsia="黑体" w:hAnsi="黑体" w:hint="eastAsia"/>
          <w:b/>
          <w:bCs/>
          <w:color w:val="auto"/>
          <w:sz w:val="24"/>
          <w:szCs w:val="24"/>
          <w:lang w:val="en-US" w:eastAsia="zh-CN"/>
        </w:rPr>
        <w:t>五、录取要求</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color w:val="auto"/>
        </w:rPr>
      </w:pPr>
      <w:r>
        <w:rPr>
          <w:rFonts w:hint="eastAsia"/>
          <w:color w:val="auto"/>
        </w:rPr>
        <w:t>1、托福100以上/雅思7分以上（雅思单科不低于6.0）/Duolingo</w:t>
      </w:r>
      <w:r>
        <w:rPr>
          <w:rFonts w:hint="default"/>
          <w:color w:val="auto"/>
        </w:rPr>
        <w:t xml:space="preserve"> </w:t>
      </w:r>
      <w:r>
        <w:rPr>
          <w:rFonts w:hint="eastAsia"/>
          <w:color w:val="auto"/>
          <w:lang w:val="en-US" w:eastAsia="zh-CN"/>
        </w:rPr>
        <w:t>120</w:t>
      </w:r>
      <w:r>
        <w:rPr>
          <w:rFonts w:hint="eastAsia"/>
          <w:color w:val="auto"/>
        </w:rPr>
        <w:t>以上</w:t>
      </w:r>
      <w:r>
        <w:rPr>
          <w:rFonts w:hint="eastAsia"/>
          <w:color w:val="auto"/>
          <w:lang w:val="en-US" w:eastAsia="zh-CN"/>
        </w:rPr>
        <w:t>/PTE学术68以上</w:t>
      </w:r>
      <w:r>
        <w:rPr>
          <w:rFonts w:hint="eastAsia"/>
          <w:color w:val="auto"/>
        </w:rPr>
        <w:t>，GMAT</w:t>
      </w:r>
      <w:r>
        <w:rPr>
          <w:rFonts w:hint="default"/>
          <w:color w:val="auto"/>
        </w:rPr>
        <w:t xml:space="preserve"> </w:t>
      </w:r>
      <w:r>
        <w:rPr>
          <w:rFonts w:hint="eastAsia"/>
          <w:color w:val="auto"/>
        </w:rPr>
        <w:t>6</w:t>
      </w:r>
      <w:r>
        <w:rPr>
          <w:rFonts w:hint="eastAsia"/>
          <w:color w:val="auto"/>
          <w:lang w:val="en-US" w:eastAsia="zh-CN"/>
        </w:rPr>
        <w:t>0</w:t>
      </w:r>
      <w:r>
        <w:rPr>
          <w:rFonts w:hint="eastAsia"/>
          <w:color w:val="auto"/>
        </w:rPr>
        <w:t>0/GRE</w:t>
      </w:r>
      <w:r>
        <w:rPr>
          <w:rFonts w:hint="default"/>
          <w:color w:val="auto"/>
        </w:rPr>
        <w:t xml:space="preserve"> </w:t>
      </w:r>
      <w:r>
        <w:rPr>
          <w:rFonts w:hint="eastAsia"/>
          <w:color w:val="auto"/>
        </w:rPr>
        <w:t>3</w:t>
      </w:r>
      <w:r>
        <w:rPr>
          <w:rFonts w:hint="eastAsia"/>
          <w:color w:val="auto"/>
          <w:lang w:val="en-US" w:eastAsia="zh-CN"/>
        </w:rPr>
        <w:t>1</w:t>
      </w:r>
      <w:r>
        <w:rPr>
          <w:rFonts w:hint="eastAsia"/>
          <w:color w:val="auto"/>
        </w:rPr>
        <w:t>0以上，GPA3.5以上</w:t>
      </w:r>
      <w:r>
        <w:rPr>
          <w:rFonts w:hint="eastAsia"/>
          <w:color w:val="auto"/>
          <w:lang w:val="en-US" w:eastAsia="zh-CN"/>
        </w:rPr>
        <w:t>，</w:t>
      </w:r>
      <w:r>
        <w:rPr>
          <w:rFonts w:hint="eastAsia"/>
          <w:color w:val="auto"/>
        </w:rPr>
        <w:t>直接录取。</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color w:val="auto"/>
        </w:rPr>
      </w:pPr>
      <w:r>
        <w:rPr>
          <w:rFonts w:hint="eastAsia"/>
          <w:color w:val="auto"/>
        </w:rPr>
        <w:t>2、托福80分或雅思6.0（单科不低于5.5）或 Duolingo105以上</w:t>
      </w:r>
      <w:r>
        <w:rPr>
          <w:rFonts w:ascii="Calibri" w:eastAsia="宋体" w:hint="eastAsia"/>
          <w:color w:val="auto"/>
          <w:lang w:val="en-US" w:eastAsia="zh-CN"/>
        </w:rPr>
        <w:t>或PTE学术53以上</w:t>
      </w:r>
      <w:r>
        <w:rPr>
          <w:rFonts w:hint="eastAsia"/>
          <w:color w:val="auto"/>
        </w:rPr>
        <w:t>但不符合以上第1条直接录取条件的学生可以申请面试录取，面试合格免GRE/GMAT。如果赴美前没有达到雅思7.0（单项不低于6.0）或者托福100以上或Duolingo</w:t>
      </w:r>
      <w:r>
        <w:rPr>
          <w:rFonts w:ascii="Calibri" w:eastAsia="宋体" w:hint="eastAsia"/>
          <w:color w:val="auto"/>
          <w:lang w:val="en-US" w:eastAsia="zh-CN"/>
        </w:rPr>
        <w:t xml:space="preserve"> 120以上或PTE学术68以上</w:t>
      </w:r>
      <w:r>
        <w:rPr>
          <w:rFonts w:hint="eastAsia"/>
          <w:color w:val="auto"/>
        </w:rPr>
        <w:t>，需要参加GWU提供的一门</w:t>
      </w:r>
      <w:r>
        <w:rPr>
          <w:rFonts w:hint="eastAsia"/>
          <w:color w:val="auto"/>
          <w:lang w:val="en-US" w:eastAsia="zh-CN"/>
        </w:rPr>
        <w:t>EAP</w:t>
      </w:r>
      <w:r>
        <w:rPr>
          <w:rFonts w:hint="eastAsia"/>
          <w:color w:val="auto"/>
        </w:rPr>
        <w:t>语言课程。</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hint="eastAsia"/>
          <w:color w:val="auto"/>
          <w:lang w:eastAsia="zh-CN"/>
        </w:rPr>
      </w:pPr>
      <w:r>
        <w:rPr>
          <w:rFonts w:hint="eastAsia"/>
          <w:color w:val="auto"/>
          <w:lang w:eastAsia="zh-CN"/>
        </w:rPr>
        <w:t>（注：</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color w:val="auto"/>
        </w:rPr>
      </w:pPr>
      <w:r>
        <w:rPr>
          <w:rFonts w:hint="eastAsia"/>
          <w:color w:val="auto"/>
          <w:lang w:eastAsia="zh-CN"/>
        </w:rPr>
        <w:t>多邻国英语测试：成绩可作为英语语言能力的国际证明，用于留学申请、升学考试。测试从听、说、读、写四方面对英语能力进行综合考察，全程线上机考，时长约1小时。测试全年开放报名，并可由考生自主选择测试的时间和地点（居家即可考试）。完成测试后48小时内获得审核结果，考生的成绩报告可以在线免费发送给申请的院校。多邻国英语测试的报名费用是49美元，中国考生可以通过支付宝付款。官网提供免费的样题测试，可以无限次试做练习。</w:t>
      </w:r>
      <w:r>
        <w:rPr>
          <w:rFonts w:hint="default"/>
          <w:color w:val="auto"/>
          <w:lang w:val="en-US" w:eastAsia="zh-CN"/>
        </w:rPr>
        <w:t>2021年，已有逾3000所国内外院校项目认可多邻国英语测试成绩，遍布全球75个国家和地区</w:t>
      </w:r>
      <w:r>
        <w:rPr>
          <w:rFonts w:hint="eastAsia"/>
          <w:color w:val="auto"/>
          <w:lang w:val="en-US" w:eastAsia="zh-CN"/>
        </w:rPr>
        <w:t>（包括耶鲁大学、杜克大学、哥伦比亚大学等知名院校）。</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color w:val="auto"/>
        </w:rPr>
      </w:pPr>
      <w:r>
        <w:rPr>
          <w:rFonts w:hint="eastAsia"/>
          <w:color w:val="auto"/>
        </w:rPr>
        <w:t>3、</w:t>
      </w:r>
      <w:r>
        <w:rPr>
          <w:color w:val="auto"/>
        </w:rPr>
        <w:t>GPA</w:t>
      </w:r>
      <w:r>
        <w:rPr>
          <w:rFonts w:hint="eastAsia"/>
          <w:color w:val="auto"/>
        </w:rPr>
        <w:t>：3.5以上优先录取，GPA</w:t>
      </w:r>
      <w:r>
        <w:rPr>
          <w:rFonts w:hint="default"/>
          <w:color w:val="auto"/>
        </w:rPr>
        <w:t xml:space="preserve"> </w:t>
      </w:r>
      <w:r>
        <w:rPr>
          <w:rFonts w:hint="eastAsia"/>
          <w:color w:val="auto"/>
        </w:rPr>
        <w:t>3.0以上但不满3.5的项目学生，可以通过在</w:t>
      </w:r>
      <w:r>
        <w:rPr>
          <w:rFonts w:hint="eastAsia"/>
          <w:color w:val="auto"/>
          <w:lang w:val="en-US" w:eastAsia="zh-CN"/>
        </w:rPr>
        <w:t>GW指定国内高校</w:t>
      </w:r>
      <w:r>
        <w:rPr>
          <w:rFonts w:hint="eastAsia"/>
          <w:color w:val="auto"/>
        </w:rPr>
        <w:t>的预科课程学习达标后获得录取。</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eastAsia="宋体" w:hint="eastAsia"/>
          <w:color w:val="auto"/>
          <w:lang w:eastAsia="zh-CN"/>
        </w:rPr>
      </w:pPr>
      <w:r>
        <w:rPr>
          <w:rFonts w:hint="eastAsia"/>
          <w:color w:val="auto"/>
        </w:rPr>
        <w:t>4. 本科接受英文教学且获得英文学士学位的学生可免语言直接申请录取</w:t>
      </w:r>
      <w:r>
        <w:rPr>
          <w:rFonts w:hint="eastAsia"/>
          <w:color w:val="auto"/>
          <w:lang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color w:val="auto"/>
        </w:rPr>
      </w:pPr>
      <w:r>
        <w:rPr>
          <w:rFonts w:hint="eastAsia"/>
          <w:color w:val="auto"/>
        </w:rPr>
        <w:t>5、在金融相关领域额外的论文、学位、奖项或工作经验为优录条件。</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黑体" w:cs="黑体" w:eastAsia="黑体" w:hAnsi="黑体" w:hint="eastAsia"/>
          <w:b/>
          <w:bCs/>
          <w:color w:val="auto"/>
          <w:sz w:val="24"/>
          <w:szCs w:val="24"/>
        </w:rPr>
      </w:pPr>
      <w:r>
        <w:rPr>
          <w:rFonts w:ascii="黑体" w:cs="黑体" w:eastAsia="黑体" w:hAnsi="黑体" w:hint="eastAsia"/>
          <w:b/>
          <w:bCs/>
          <w:color w:val="auto"/>
          <w:sz w:val="24"/>
          <w:szCs w:val="24"/>
          <w:lang w:val="en-US" w:eastAsia="zh-CN"/>
        </w:rPr>
        <w:t>六</w:t>
      </w:r>
      <w:r>
        <w:rPr>
          <w:rFonts w:ascii="黑体" w:cs="黑体" w:eastAsia="黑体" w:hAnsi="黑体" w:hint="eastAsia"/>
          <w:b/>
          <w:bCs/>
          <w:color w:val="auto"/>
          <w:sz w:val="24"/>
          <w:szCs w:val="24"/>
        </w:rPr>
        <w:t>、培养计划</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黑体" w:cs="黑体" w:eastAsia="黑体" w:hAnsi="黑体" w:hint="eastAsia"/>
          <w:b/>
          <w:bCs/>
          <w:color w:val="auto"/>
        </w:rPr>
      </w:pPr>
      <w:r>
        <w:rPr>
          <w:rFonts w:ascii="黑体" w:cs="黑体" w:eastAsia="黑体" w:hAnsi="黑体" w:hint="eastAsia"/>
          <w:b/>
          <w:bCs/>
          <w:color w:val="auto"/>
        </w:rPr>
        <w:t>1.第一阶段（国内阶段）：</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color w:val="auto"/>
        </w:rPr>
      </w:pPr>
      <w:r>
        <w:rPr>
          <w:rFonts w:hint="eastAsia"/>
          <w:color w:val="auto"/>
        </w:rPr>
        <w:t>项目学生录取后将按G</w:t>
      </w:r>
      <w:r>
        <w:rPr>
          <w:color w:val="auto"/>
        </w:rPr>
        <w:t>WU</w:t>
      </w:r>
      <w:r>
        <w:rPr>
          <w:rFonts w:hint="eastAsia"/>
          <w:color w:val="auto"/>
        </w:rPr>
        <w:t>要求在</w:t>
      </w:r>
      <w:r>
        <w:rPr>
          <w:rFonts w:hint="eastAsia"/>
          <w:color w:val="auto"/>
          <w:lang w:val="en-US" w:eastAsia="zh-CN"/>
        </w:rPr>
        <w:t>2021年12月-2022年2月期间或2022年6月-2022年8月期间，于GW指定国内高校</w:t>
      </w:r>
      <w:r>
        <w:rPr>
          <w:rFonts w:hint="eastAsia"/>
          <w:color w:val="auto"/>
        </w:rPr>
        <w:t>完成先修课程教学。先修课程为：</w:t>
      </w:r>
      <w:r>
        <w:rPr>
          <w:color w:val="auto"/>
        </w:rPr>
        <w:t>高等数学（6学分； 3学分必须在微积分中）</w:t>
      </w:r>
      <w:r>
        <w:rPr>
          <w:rFonts w:hint="eastAsia"/>
          <w:color w:val="auto"/>
        </w:rPr>
        <w:t>、</w:t>
      </w:r>
      <w:r>
        <w:rPr>
          <w:color w:val="auto"/>
        </w:rPr>
        <w:t>微观经济学（3学分）</w:t>
      </w:r>
      <w:r>
        <w:rPr>
          <w:rFonts w:hint="eastAsia"/>
          <w:color w:val="auto"/>
        </w:rPr>
        <w:t>、</w:t>
      </w:r>
      <w:r>
        <w:rPr>
          <w:color w:val="auto"/>
        </w:rPr>
        <w:t>宏观经济学（3学分）</w:t>
      </w:r>
      <w:r>
        <w:rPr>
          <w:rFonts w:hint="eastAsia"/>
          <w:color w:val="auto"/>
        </w:rPr>
        <w:t>、</w:t>
      </w:r>
      <w:r>
        <w:rPr>
          <w:color w:val="auto"/>
        </w:rPr>
        <w:t>会计（3学分）</w:t>
      </w:r>
      <w:r>
        <w:rPr>
          <w:rFonts w:hint="eastAsia"/>
          <w:color w:val="auto"/>
        </w:rPr>
        <w:t>、</w:t>
      </w:r>
      <w:r>
        <w:rPr>
          <w:rFonts w:hint="eastAsia"/>
          <w:color w:val="auto"/>
          <w:lang w:val="en-US" w:eastAsia="zh-CN"/>
        </w:rPr>
        <w:t>金融</w:t>
      </w:r>
      <w:r>
        <w:rPr>
          <w:color w:val="auto"/>
        </w:rPr>
        <w:t>（3学分）</w:t>
      </w:r>
      <w:r>
        <w:rPr>
          <w:rFonts w:hint="eastAsia"/>
          <w:color w:val="auto"/>
        </w:rPr>
        <w:t>、</w:t>
      </w:r>
      <w:r>
        <w:rPr>
          <w:color w:val="auto"/>
        </w:rPr>
        <w:t>统计（3学分）</w:t>
      </w:r>
      <w:r>
        <w:rPr>
          <w:rFonts w:hint="eastAsia"/>
          <w:color w:val="auto"/>
        </w:rPr>
        <w:t>及英语写作等课程，部分课程由G</w:t>
      </w:r>
      <w:r>
        <w:rPr>
          <w:color w:val="auto"/>
        </w:rPr>
        <w:t>WU</w:t>
      </w:r>
      <w:r>
        <w:rPr>
          <w:rFonts w:hint="eastAsia"/>
          <w:color w:val="auto"/>
        </w:rPr>
        <w:t>教授授课，具体时间以GWU官方邮件通知为准。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color w:val="auto"/>
        </w:rPr>
      </w:pPr>
      <w:r>
        <w:rPr>
          <w:rFonts w:ascii="黑体" w:cs="黑体" w:eastAsia="黑体" w:hAnsi="黑体" w:hint="eastAsia"/>
          <w:b/>
          <w:bCs/>
          <w:color w:val="auto"/>
        </w:rPr>
        <w:t>2.第二阶段（国外阶段）：</w:t>
      </w:r>
      <w:r>
        <w:rPr>
          <w:color w:val="auto"/>
        </w:rPr>
        <w:t xml:space="preserve"> </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hint="eastAsia"/>
          <w:color w:val="auto"/>
        </w:rPr>
      </w:pPr>
      <w:r>
        <w:rPr>
          <w:rFonts w:hint="eastAsia"/>
          <w:color w:val="auto"/>
        </w:rPr>
        <w:t>项目学生</w:t>
      </w:r>
      <w:r>
        <w:rPr>
          <w:rFonts w:hint="eastAsia"/>
          <w:color w:val="auto"/>
          <w:lang w:val="en-US" w:eastAsia="zh-CN"/>
        </w:rPr>
        <w:t>2022</w:t>
      </w:r>
      <w:r>
        <w:rPr>
          <w:rFonts w:hint="eastAsia"/>
          <w:color w:val="auto"/>
        </w:rPr>
        <w:t>年</w:t>
      </w:r>
      <w:r>
        <w:rPr>
          <w:rFonts w:hint="eastAsia"/>
          <w:color w:val="auto"/>
          <w:lang w:val="en-US" w:eastAsia="zh-CN"/>
        </w:rPr>
        <w:t>秋季</w:t>
      </w:r>
      <w:r>
        <w:rPr>
          <w:rFonts w:hint="eastAsia"/>
          <w:color w:val="auto"/>
        </w:rPr>
        <w:t>赴美在G</w:t>
      </w:r>
      <w:r>
        <w:rPr>
          <w:color w:val="auto"/>
        </w:rPr>
        <w:t>WU</w:t>
      </w:r>
      <w:r>
        <w:rPr>
          <w:rFonts w:hint="eastAsia"/>
          <w:color w:val="auto"/>
        </w:rPr>
        <w:t>学习，修读9门专业课程（36学分），成绩合格获得应用金融学硕士（MSAF）学位。</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hint="eastAsia"/>
          <w:color w:val="auto"/>
        </w:rPr>
      </w:pPr>
      <w:r>
        <w:rPr>
          <w:rFonts w:hint="eastAsia"/>
          <w:color w:val="auto"/>
        </w:rPr>
        <w:t>针对有国内大学研究生学籍需要回国获取中国大学硕士学位的项目学生，第三年回到国内大学继续学习，获取国内硕士学位。</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360"/>
        <w:textAlignment w:val="auto"/>
        <w:rPr>
          <w:rFonts w:ascii="黑体" w:cs="黑体" w:eastAsia="黑体" w:hAnsi="黑体" w:hint="eastAsia"/>
          <w:b/>
          <w:bCs/>
          <w:color w:val="auto"/>
        </w:rPr>
      </w:pPr>
      <w:r>
        <w:rPr>
          <w:rFonts w:ascii="黑体" w:cs="黑体" w:eastAsia="黑体" w:hAnsi="黑体" w:hint="eastAsia"/>
          <w:b/>
          <w:bCs/>
          <w:color w:val="auto"/>
        </w:rPr>
        <w:t>3</w:t>
      </w:r>
      <w:r>
        <w:rPr>
          <w:rFonts w:ascii="黑体" w:cs="黑体" w:eastAsia="黑体" w:hAnsi="黑体" w:hint="eastAsia"/>
          <w:b/>
          <w:bCs/>
          <w:color w:val="auto"/>
          <w:lang w:val="en-US"/>
        </w:rPr>
        <w:t>.</w:t>
      </w:r>
      <w:r>
        <w:rPr>
          <w:rFonts w:ascii="黑体" w:cs="黑体" w:eastAsia="黑体" w:hAnsi="黑体" w:hint="eastAsia"/>
          <w:b/>
          <w:bCs/>
          <w:color w:val="auto"/>
        </w:rPr>
        <w:t>MSAF专业学位核心课程如下：</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360"/>
        <w:textAlignment w:val="auto"/>
        <w:rPr>
          <w:color w:val="auto"/>
        </w:rPr>
      </w:pPr>
      <w:r>
        <w:rPr>
          <w:rFonts w:hint="eastAsia"/>
          <w:color w:val="auto"/>
        </w:rPr>
        <w:t>（9门课，36学分，全英文授课）</w:t>
      </w:r>
      <w:r>
        <w:rPr>
          <w:color w:val="auto"/>
        </w:rPr>
        <w:t xml:space="preserve">   </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hint="eastAsia"/>
          <w:color w:val="auto"/>
        </w:rPr>
      </w:pPr>
      <w:r>
        <w:rPr>
          <w:rFonts w:hint="eastAsia"/>
          <w:color w:val="auto"/>
        </w:rPr>
        <w:t>FINA 6271</w:t>
      </w:r>
      <w:r>
        <w:rPr>
          <w:rFonts w:hint="eastAsia"/>
          <w:color w:val="auto"/>
        </w:rPr>
        <w:tab/>
      </w:r>
      <w:r>
        <w:rPr>
          <w:rFonts w:hint="eastAsia"/>
          <w:color w:val="auto"/>
        </w:rPr>
        <w:t>Financial Modeling and Econometrics</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hint="eastAsia"/>
          <w:color w:val="auto"/>
        </w:rPr>
      </w:pPr>
      <w:r>
        <w:rPr>
          <w:rFonts w:hint="eastAsia"/>
          <w:color w:val="auto"/>
        </w:rPr>
        <w:t>金融建模与计量经济学</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hint="eastAsia"/>
          <w:color w:val="auto"/>
        </w:rPr>
      </w:pPr>
      <w:r>
        <w:rPr>
          <w:rFonts w:hint="eastAsia"/>
          <w:color w:val="auto"/>
        </w:rPr>
        <w:t>FINA 6272</w:t>
      </w:r>
      <w:r>
        <w:rPr>
          <w:rFonts w:hint="eastAsia"/>
          <w:color w:val="auto"/>
        </w:rPr>
        <w:tab/>
      </w:r>
      <w:r>
        <w:rPr>
          <w:rFonts w:hint="eastAsia"/>
          <w:color w:val="auto"/>
        </w:rPr>
        <w:t>Global Financial Markets</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hint="eastAsia"/>
          <w:color w:val="auto"/>
        </w:rPr>
      </w:pPr>
      <w:r>
        <w:rPr>
          <w:rFonts w:hint="eastAsia"/>
          <w:color w:val="auto"/>
        </w:rPr>
        <w:t>国际金融市场</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hint="eastAsia"/>
          <w:color w:val="auto"/>
        </w:rPr>
      </w:pPr>
      <w:r>
        <w:rPr>
          <w:rFonts w:hint="eastAsia"/>
          <w:color w:val="auto"/>
        </w:rPr>
        <w:t>FINA 6273</w:t>
      </w:r>
      <w:r>
        <w:rPr>
          <w:rFonts w:hint="eastAsia"/>
          <w:color w:val="auto"/>
        </w:rPr>
        <w:tab/>
      </w:r>
      <w:r>
        <w:rPr>
          <w:rFonts w:hint="eastAsia"/>
          <w:color w:val="auto"/>
        </w:rPr>
        <w:t>Cases in Financial Management and Investment Banking</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hint="eastAsia"/>
          <w:color w:val="auto"/>
        </w:rPr>
      </w:pPr>
      <w:r>
        <w:rPr>
          <w:rFonts w:hint="eastAsia"/>
          <w:color w:val="auto"/>
        </w:rPr>
        <w:t>财务管理与投资银行案例</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hint="eastAsia"/>
          <w:color w:val="auto"/>
        </w:rPr>
      </w:pPr>
      <w:r>
        <w:rPr>
          <w:rFonts w:hint="eastAsia"/>
          <w:color w:val="auto"/>
        </w:rPr>
        <w:t>FINA 6275</w:t>
      </w:r>
      <w:r>
        <w:rPr>
          <w:rFonts w:hint="eastAsia"/>
          <w:color w:val="auto"/>
        </w:rPr>
        <w:tab/>
      </w:r>
      <w:r>
        <w:rPr>
          <w:rFonts w:hint="eastAsia"/>
          <w:color w:val="auto"/>
        </w:rPr>
        <w:t>Investment Analysis and Global Portfolio Management</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hint="eastAsia"/>
          <w:color w:val="auto"/>
        </w:rPr>
      </w:pPr>
      <w:r>
        <w:rPr>
          <w:rFonts w:hint="eastAsia"/>
          <w:color w:val="auto"/>
        </w:rPr>
        <w:t>投资组合管理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hint="eastAsia"/>
          <w:color w:val="auto"/>
        </w:rPr>
      </w:pPr>
      <w:r>
        <w:rPr>
          <w:rFonts w:hint="eastAsia"/>
          <w:color w:val="auto"/>
        </w:rPr>
        <w:t>FINA 6276</w:t>
      </w:r>
      <w:r>
        <w:rPr>
          <w:rFonts w:hint="eastAsia"/>
          <w:color w:val="auto"/>
        </w:rPr>
        <w:tab/>
      </w:r>
      <w:r>
        <w:rPr>
          <w:rFonts w:hint="eastAsia"/>
          <w:color w:val="auto"/>
        </w:rPr>
        <w:t>Financial Engineering and Derivative Securities</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hint="eastAsia"/>
          <w:color w:val="auto"/>
        </w:rPr>
      </w:pPr>
      <w:r>
        <w:rPr>
          <w:rFonts w:hint="eastAsia"/>
          <w:color w:val="auto"/>
        </w:rPr>
        <w:t>金融工程与金融衍生品</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hint="eastAsia"/>
          <w:color w:val="auto"/>
        </w:rPr>
      </w:pPr>
      <w:r>
        <w:rPr>
          <w:rFonts w:hint="eastAsia"/>
          <w:color w:val="auto"/>
        </w:rPr>
        <w:t>FINA 6279</w:t>
      </w:r>
      <w:r>
        <w:rPr>
          <w:rFonts w:hint="eastAsia"/>
          <w:color w:val="auto"/>
        </w:rPr>
        <w:tab/>
      </w:r>
      <w:r>
        <w:rPr>
          <w:rFonts w:hint="eastAsia"/>
          <w:color w:val="auto"/>
        </w:rPr>
        <w:t>Real Estate Finance and Fixed-Income Security Valuation</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hint="eastAsia"/>
          <w:color w:val="auto"/>
        </w:rPr>
      </w:pPr>
      <w:r>
        <w:rPr>
          <w:rFonts w:hint="eastAsia"/>
          <w:color w:val="auto"/>
        </w:rPr>
        <w:t>固定收益与房地产估值</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hint="eastAsia"/>
          <w:color w:val="auto"/>
        </w:rPr>
      </w:pPr>
      <w:r>
        <w:rPr>
          <w:rFonts w:hint="eastAsia"/>
          <w:color w:val="auto"/>
        </w:rPr>
        <w:t>FINA 6280</w:t>
      </w:r>
      <w:r>
        <w:rPr>
          <w:rFonts w:hint="eastAsia"/>
          <w:color w:val="auto"/>
        </w:rPr>
        <w:tab/>
      </w:r>
      <w:r>
        <w:rPr>
          <w:rFonts w:hint="eastAsia"/>
          <w:color w:val="auto"/>
        </w:rPr>
        <w:t>Financial Institution Management and Modeling</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hint="eastAsia"/>
          <w:color w:val="auto"/>
        </w:rPr>
      </w:pPr>
      <w:r>
        <w:rPr>
          <w:rFonts w:hint="eastAsia"/>
          <w:color w:val="auto"/>
        </w:rPr>
        <w:t>金融机构管理与建模</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hint="eastAsia"/>
          <w:color w:val="auto"/>
        </w:rPr>
      </w:pPr>
      <w:r>
        <w:rPr>
          <w:rFonts w:hint="eastAsia"/>
          <w:color w:val="auto"/>
        </w:rPr>
        <w:t>FINA 6281</w:t>
      </w:r>
      <w:r>
        <w:rPr>
          <w:rFonts w:hint="eastAsia"/>
          <w:color w:val="auto"/>
        </w:rPr>
        <w:tab/>
      </w:r>
      <w:r>
        <w:rPr>
          <w:rFonts w:hint="eastAsia"/>
          <w:color w:val="auto"/>
        </w:rPr>
        <w:t>Cases in Financial Modeling and Engineering</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hint="eastAsia"/>
          <w:color w:val="auto"/>
        </w:rPr>
      </w:pPr>
      <w:r>
        <w:rPr>
          <w:rFonts w:hint="eastAsia"/>
          <w:color w:val="auto"/>
        </w:rPr>
        <w:t>金融模型与量化案例分析</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hint="eastAsia"/>
          <w:color w:val="auto"/>
        </w:rPr>
      </w:pPr>
      <w:r>
        <w:rPr>
          <w:rFonts w:hint="eastAsia"/>
          <w:color w:val="auto"/>
        </w:rPr>
        <w:t>FINA 6282</w:t>
      </w:r>
      <w:r>
        <w:rPr>
          <w:rFonts w:hint="eastAsia"/>
          <w:color w:val="auto"/>
        </w:rPr>
        <w:tab/>
      </w:r>
      <w:r>
        <w:rPr>
          <w:rFonts w:hint="eastAsia"/>
          <w:color w:val="auto"/>
        </w:rPr>
        <w:t>Advanced Financial Econometrics and Modeling</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hint="eastAsia"/>
          <w:color w:val="auto"/>
        </w:rPr>
      </w:pPr>
      <w:r>
        <w:rPr>
          <w:rFonts w:hint="eastAsia"/>
          <w:color w:val="auto"/>
        </w:rPr>
        <w:t>高级金融计量与建模</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黑体" w:cs="黑体" w:eastAsia="黑体" w:hAnsi="黑体" w:hint="eastAsia"/>
          <w:b/>
          <w:bCs/>
          <w:color w:val="auto"/>
          <w:sz w:val="24"/>
          <w:szCs w:val="24"/>
        </w:rPr>
      </w:pPr>
      <w:r>
        <w:rPr>
          <w:rFonts w:ascii="黑体" w:cs="黑体" w:eastAsia="黑体" w:hAnsi="黑体" w:hint="eastAsia"/>
          <w:b/>
          <w:bCs/>
          <w:color w:val="auto"/>
          <w:sz w:val="24"/>
          <w:szCs w:val="24"/>
          <w:lang w:val="en-US" w:eastAsia="zh-CN"/>
        </w:rPr>
        <w:t>七</w:t>
      </w:r>
      <w:r>
        <w:rPr>
          <w:rFonts w:ascii="黑体" w:cs="黑体" w:eastAsia="黑体" w:hAnsi="黑体" w:hint="eastAsia"/>
          <w:b/>
          <w:bCs/>
          <w:color w:val="auto"/>
          <w:sz w:val="24"/>
          <w:szCs w:val="24"/>
        </w:rPr>
        <w:t xml:space="preserve">、报名联系方式 </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hint="default"/>
          <w:color w:val="auto"/>
          <w:lang w:val="en-US"/>
        </w:rPr>
      </w:pPr>
      <w:r>
        <w:rPr>
          <w:rFonts w:hint="eastAsia"/>
          <w:color w:val="auto"/>
        </w:rPr>
        <w:t xml:space="preserve">电话： </w:t>
      </w:r>
      <w:r>
        <w:rPr>
          <w:rFonts w:hint="eastAsia"/>
          <w:color w:val="auto"/>
          <w:lang w:val="en-US" w:eastAsia="zh-CN"/>
        </w:rPr>
        <w:t>010-5748-3768/15180439451</w:t>
      </w:r>
      <w:bookmarkStart w:id="0" w:name="_GoBack"/>
      <w:bookmarkEnd w:id="0"/>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eastAsia="宋体" w:hint="eastAsia"/>
          <w:color w:val="auto"/>
          <w:lang w:val="en-US" w:eastAsia="zh-CN"/>
        </w:rPr>
      </w:pPr>
      <w:r>
        <w:rPr>
          <w:rFonts w:hint="eastAsia"/>
          <w:color w:val="auto"/>
        </w:rPr>
        <w:t>联系人：</w:t>
      </w:r>
      <w:r>
        <w:rPr>
          <w:rFonts w:hint="eastAsia"/>
          <w:color w:val="auto"/>
          <w:lang w:val="en-US" w:eastAsia="zh-CN"/>
        </w:rPr>
        <w:t>史老师</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eastAsia="宋体" w:hint="default"/>
          <w:color w:val="auto"/>
          <w:lang w:val="en-US" w:eastAsia="zh-CN"/>
        </w:rPr>
      </w:pPr>
      <w:r>
        <w:rPr>
          <w:rFonts w:hint="eastAsia"/>
          <w:color w:val="auto"/>
        </w:rPr>
        <w:t>邮箱</w:t>
      </w:r>
      <w:r>
        <w:rPr>
          <w:rFonts w:hint="eastAsia"/>
          <w:color w:val="auto"/>
          <w:lang w:eastAsia="zh-CN"/>
        </w:rPr>
        <w:t>：</w:t>
      </w:r>
      <w:r>
        <w:rPr>
          <w:rFonts w:hint="eastAsia"/>
          <w:color w:val="auto"/>
          <w:lang w:val="en-US" w:eastAsia="zh-CN"/>
        </w:rPr>
        <w:t>sacmsaf@163.com</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黑体" w:cs="黑体" w:eastAsia="黑体" w:hAnsi="黑体" w:hint="eastAsia"/>
          <w:b/>
          <w:bCs/>
          <w:color w:val="auto"/>
          <w:sz w:val="24"/>
          <w:szCs w:val="24"/>
        </w:rPr>
      </w:pPr>
      <w:r>
        <w:rPr>
          <w:rFonts w:ascii="黑体" w:cs="黑体" w:eastAsia="黑体" w:hAnsi="黑体" w:hint="eastAsia"/>
          <w:b/>
          <w:bCs/>
          <w:color w:val="auto"/>
          <w:sz w:val="24"/>
          <w:szCs w:val="24"/>
          <w:lang w:val="en-US" w:eastAsia="zh-CN"/>
        </w:rPr>
        <w:t>八</w:t>
      </w:r>
      <w:r>
        <w:rPr>
          <w:rFonts w:ascii="黑体" w:cs="黑体" w:eastAsia="黑体" w:hAnsi="黑体" w:hint="eastAsia"/>
          <w:b/>
          <w:bCs/>
          <w:color w:val="auto"/>
          <w:sz w:val="24"/>
          <w:szCs w:val="24"/>
        </w:rPr>
        <w:t>、报名流程</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color w:val="auto"/>
        </w:rPr>
      </w:pPr>
      <w:r>
        <w:rPr>
          <w:rFonts w:hint="eastAsia"/>
          <w:b/>
          <w:bCs/>
          <w:color w:val="auto"/>
        </w:rPr>
        <w:t>1.报名时间：</w:t>
      </w:r>
      <w:r>
        <w:rPr>
          <w:rFonts w:hint="eastAsia"/>
          <w:color w:val="auto"/>
        </w:rPr>
        <w:t>自即日起开始报名，先申先录，名额满为止，欲报从速。</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color w:val="auto"/>
        </w:rPr>
      </w:pPr>
      <w:r>
        <w:rPr>
          <w:rFonts w:hint="eastAsia"/>
          <w:b/>
          <w:bCs/>
          <w:color w:val="auto"/>
        </w:rPr>
        <w:t>2.报名方式：</w:t>
      </w:r>
      <w:r>
        <w:rPr>
          <w:rFonts w:hint="eastAsia"/>
          <w:color w:val="auto"/>
        </w:rPr>
        <w:t xml:space="preserve">填写项目报名表（附件），发送到以上联系邮箱，文件重命名为：（姓名+年级+专业，例：张三+大四+金融学）。如需咨询，可以在工作日电话联系招生办公室。    </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hint="eastAsia"/>
          <w:color w:val="auto"/>
        </w:rPr>
      </w:pPr>
      <w:r>
        <w:rPr>
          <w:rFonts w:hint="eastAsia"/>
          <w:b/>
          <w:bCs/>
          <w:color w:val="auto"/>
        </w:rPr>
        <w:t>3.</w:t>
      </w:r>
      <w:r>
        <w:rPr>
          <w:rFonts w:hint="eastAsia"/>
          <w:color w:val="auto"/>
        </w:rPr>
        <w:t>初选合格者将在一周内接到通知办理报名有关手续。</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hint="eastAsia"/>
          <w:color w:val="auto"/>
        </w:rPr>
      </w:pPr>
    </w:p>
    <w:p>
      <w:pPr>
        <w:pStyle w:val="style0"/>
        <w:rPr>
          <w:rFonts w:hint="eastAsia"/>
          <w:color w:val="auto"/>
          <w:lang w:val="en-US" w:eastAsia="zh-CN"/>
        </w:rPr>
      </w:pPr>
      <w:r>
        <w:rPr>
          <w:rFonts w:hint="eastAsia"/>
          <w:color w:val="auto"/>
          <w:lang w:val="en-US" w:eastAsia="zh-CN"/>
        </w:rPr>
        <w:br w:type="page"/>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hint="eastAsia"/>
          <w:b/>
          <w:bCs/>
          <w:color w:val="auto"/>
          <w:sz w:val="24"/>
          <w:szCs w:val="24"/>
          <w:lang w:val="en-US" w:eastAsia="zh-CN"/>
        </w:rPr>
      </w:pPr>
      <w:r>
        <w:rPr>
          <w:rFonts w:hint="eastAsia"/>
          <w:b/>
          <w:bCs/>
          <w:color w:val="auto"/>
          <w:sz w:val="24"/>
          <w:szCs w:val="24"/>
          <w:lang w:val="en-US" w:eastAsia="zh-CN"/>
        </w:rPr>
        <w:t>附件：美国乔治华盛顿大学应用金融学硕士（MSAF）项目报名表</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hint="eastAsia"/>
          <w:b/>
          <w:bCs/>
          <w:color w:val="auto"/>
          <w:sz w:val="24"/>
          <w:szCs w:val="24"/>
          <w:lang w:val="en-US" w:eastAsia="zh-CN"/>
        </w:rPr>
      </w:pPr>
    </w:p>
    <w:tbl>
      <w:tblPr>
        <w:tblStyle w:val="style105"/>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44"/>
        <w:gridCol w:w="1159"/>
        <w:gridCol w:w="860"/>
        <w:gridCol w:w="103"/>
        <w:gridCol w:w="1104"/>
        <w:gridCol w:w="862"/>
        <w:gridCol w:w="1032"/>
        <w:gridCol w:w="1790"/>
        <w:gridCol w:w="1764"/>
      </w:tblGrid>
      <w:tr>
        <w:trPr>
          <w:trHeight w:val="904" w:hRule="exact"/>
          <w:jc w:val="center"/>
        </w:trPr>
        <w:tc>
          <w:tcPr>
            <w:tcW w:w="1544" w:type="dxa"/>
            <w:tcBorders/>
            <w:vAlign w:val="center"/>
          </w:tcPr>
          <w:p>
            <w:pPr>
              <w:pStyle w:val="style0"/>
              <w:jc w:val="center"/>
              <w:rPr>
                <w:rFonts w:ascii="宋体" w:hAnsi="宋体"/>
                <w:sz w:val="18"/>
                <w:szCs w:val="18"/>
              </w:rPr>
            </w:pPr>
            <w:r>
              <w:rPr>
                <w:rFonts w:ascii="宋体" w:hAnsi="宋体" w:hint="eastAsia"/>
                <w:sz w:val="18"/>
                <w:szCs w:val="18"/>
              </w:rPr>
              <w:t>姓    名</w:t>
            </w:r>
          </w:p>
        </w:tc>
        <w:tc>
          <w:tcPr>
            <w:tcW w:w="4088" w:type="dxa"/>
            <w:gridSpan w:val="5"/>
            <w:tcBorders/>
            <w:vAlign w:val="center"/>
          </w:tcPr>
          <w:p>
            <w:pPr>
              <w:pStyle w:val="style0"/>
              <w:jc w:val="center"/>
              <w:rPr>
                <w:rFonts w:ascii="宋体" w:hAnsi="宋体"/>
                <w:sz w:val="18"/>
                <w:szCs w:val="18"/>
              </w:rPr>
            </w:pPr>
          </w:p>
        </w:tc>
        <w:tc>
          <w:tcPr>
            <w:tcW w:w="1032" w:type="dxa"/>
            <w:tcBorders/>
            <w:vAlign w:val="center"/>
          </w:tcPr>
          <w:p>
            <w:pPr>
              <w:pStyle w:val="style0"/>
              <w:jc w:val="center"/>
              <w:rPr>
                <w:rFonts w:ascii="宋体" w:hAnsi="宋体"/>
                <w:sz w:val="18"/>
                <w:szCs w:val="18"/>
              </w:rPr>
            </w:pPr>
            <w:r>
              <w:rPr>
                <w:rFonts w:ascii="宋体" w:hAnsi="宋体" w:hint="eastAsia"/>
                <w:sz w:val="18"/>
                <w:szCs w:val="18"/>
              </w:rPr>
              <w:t>出生日期</w:t>
            </w:r>
          </w:p>
          <w:p>
            <w:pPr>
              <w:pStyle w:val="style0"/>
              <w:jc w:val="center"/>
              <w:rPr>
                <w:rFonts w:ascii="宋体" w:hAnsi="宋体"/>
                <w:sz w:val="18"/>
                <w:szCs w:val="18"/>
              </w:rPr>
            </w:pPr>
            <w:r>
              <w:rPr>
                <w:rFonts w:ascii="宋体" w:hAnsi="宋体" w:hint="eastAsia"/>
                <w:sz w:val="18"/>
                <w:szCs w:val="18"/>
              </w:rPr>
              <w:t>(年/月/日)</w:t>
            </w:r>
          </w:p>
        </w:tc>
        <w:tc>
          <w:tcPr>
            <w:tcW w:w="3554" w:type="dxa"/>
            <w:gridSpan w:val="2"/>
            <w:tcBorders/>
            <w:vAlign w:val="center"/>
          </w:tcPr>
          <w:p>
            <w:pPr>
              <w:pStyle w:val="style0"/>
              <w:jc w:val="center"/>
              <w:rPr>
                <w:rFonts w:ascii="宋体" w:hAnsi="宋体"/>
                <w:sz w:val="18"/>
                <w:szCs w:val="18"/>
              </w:rPr>
            </w:pPr>
          </w:p>
        </w:tc>
      </w:tr>
      <w:tr>
        <w:tblPrEx/>
        <w:trPr>
          <w:trHeight w:val="524" w:hRule="exact"/>
          <w:jc w:val="center"/>
        </w:trPr>
        <w:tc>
          <w:tcPr>
            <w:tcW w:w="1544" w:type="dxa"/>
            <w:tcBorders/>
            <w:vAlign w:val="center"/>
          </w:tcPr>
          <w:p>
            <w:pPr>
              <w:pStyle w:val="style0"/>
              <w:jc w:val="center"/>
              <w:rPr>
                <w:rFonts w:ascii="宋体" w:hAnsi="宋体"/>
                <w:sz w:val="18"/>
                <w:szCs w:val="18"/>
              </w:rPr>
            </w:pPr>
            <w:r>
              <w:rPr>
                <w:rFonts w:ascii="宋体" w:hAnsi="宋体" w:hint="eastAsia"/>
                <w:sz w:val="18"/>
                <w:szCs w:val="18"/>
              </w:rPr>
              <w:t>性    别</w:t>
            </w:r>
          </w:p>
        </w:tc>
        <w:tc>
          <w:tcPr>
            <w:tcW w:w="4088" w:type="dxa"/>
            <w:gridSpan w:val="5"/>
            <w:tcBorders/>
            <w:vAlign w:val="center"/>
          </w:tcPr>
          <w:p>
            <w:pPr>
              <w:pStyle w:val="style0"/>
              <w:jc w:val="center"/>
              <w:rPr>
                <w:rFonts w:ascii="宋体" w:hAnsi="宋体"/>
                <w:sz w:val="18"/>
                <w:szCs w:val="18"/>
              </w:rPr>
            </w:pPr>
          </w:p>
        </w:tc>
        <w:tc>
          <w:tcPr>
            <w:tcW w:w="1032" w:type="dxa"/>
            <w:tcBorders/>
            <w:vAlign w:val="center"/>
          </w:tcPr>
          <w:p>
            <w:pPr>
              <w:pStyle w:val="style0"/>
              <w:jc w:val="center"/>
              <w:rPr>
                <w:rFonts w:ascii="宋体" w:hAnsi="宋体"/>
                <w:sz w:val="18"/>
                <w:szCs w:val="18"/>
              </w:rPr>
            </w:pPr>
            <w:r>
              <w:rPr>
                <w:rFonts w:ascii="宋体" w:hAnsi="宋体" w:hint="eastAsia"/>
                <w:sz w:val="18"/>
                <w:szCs w:val="18"/>
              </w:rPr>
              <w:t>电子信箱</w:t>
            </w:r>
          </w:p>
        </w:tc>
        <w:tc>
          <w:tcPr>
            <w:tcW w:w="3554" w:type="dxa"/>
            <w:gridSpan w:val="2"/>
            <w:tcBorders/>
            <w:vAlign w:val="center"/>
          </w:tcPr>
          <w:p>
            <w:pPr>
              <w:pStyle w:val="style0"/>
              <w:jc w:val="center"/>
              <w:rPr>
                <w:rFonts w:ascii="宋体" w:hAnsi="宋体"/>
                <w:sz w:val="18"/>
                <w:szCs w:val="18"/>
              </w:rPr>
            </w:pPr>
          </w:p>
        </w:tc>
      </w:tr>
      <w:tr>
        <w:tblPrEx/>
        <w:trPr>
          <w:trHeight w:val="524" w:hRule="exact"/>
          <w:jc w:val="center"/>
        </w:trPr>
        <w:tc>
          <w:tcPr>
            <w:tcW w:w="1544" w:type="dxa"/>
            <w:tcBorders/>
            <w:vAlign w:val="center"/>
          </w:tcPr>
          <w:p>
            <w:pPr>
              <w:pStyle w:val="style0"/>
              <w:jc w:val="center"/>
              <w:rPr>
                <w:rFonts w:ascii="宋体" w:hAnsi="宋体"/>
                <w:sz w:val="18"/>
                <w:szCs w:val="18"/>
              </w:rPr>
            </w:pPr>
            <w:r>
              <w:rPr>
                <w:rFonts w:ascii="宋体" w:hAnsi="宋体" w:hint="eastAsia"/>
                <w:sz w:val="18"/>
                <w:szCs w:val="18"/>
              </w:rPr>
              <w:t>家庭住址</w:t>
            </w:r>
          </w:p>
        </w:tc>
        <w:tc>
          <w:tcPr>
            <w:tcW w:w="8674" w:type="dxa"/>
            <w:gridSpan w:val="8"/>
            <w:tcBorders/>
            <w:vAlign w:val="center"/>
          </w:tcPr>
          <w:p>
            <w:pPr>
              <w:pStyle w:val="style0"/>
              <w:jc w:val="center"/>
              <w:rPr>
                <w:rFonts w:ascii="宋体" w:hAnsi="宋体"/>
                <w:sz w:val="18"/>
                <w:szCs w:val="18"/>
              </w:rPr>
            </w:pPr>
          </w:p>
        </w:tc>
      </w:tr>
      <w:tr>
        <w:tblPrEx/>
        <w:trPr>
          <w:trHeight w:val="524" w:hRule="exact"/>
          <w:jc w:val="center"/>
        </w:trPr>
        <w:tc>
          <w:tcPr>
            <w:tcW w:w="1544" w:type="dxa"/>
            <w:tcBorders/>
            <w:vAlign w:val="center"/>
          </w:tcPr>
          <w:p>
            <w:pPr>
              <w:pStyle w:val="style0"/>
              <w:jc w:val="center"/>
              <w:rPr>
                <w:rFonts w:ascii="宋体" w:hAnsi="宋体"/>
                <w:sz w:val="18"/>
                <w:szCs w:val="18"/>
              </w:rPr>
            </w:pPr>
            <w:r>
              <w:rPr>
                <w:rFonts w:ascii="宋体" w:hAnsi="宋体" w:hint="eastAsia"/>
                <w:sz w:val="18"/>
                <w:szCs w:val="18"/>
              </w:rPr>
              <w:t>微信号</w:t>
            </w:r>
          </w:p>
        </w:tc>
        <w:tc>
          <w:tcPr>
            <w:tcW w:w="8674" w:type="dxa"/>
            <w:gridSpan w:val="8"/>
            <w:tcBorders/>
            <w:vAlign w:val="center"/>
          </w:tcPr>
          <w:p>
            <w:pPr>
              <w:pStyle w:val="style0"/>
              <w:jc w:val="center"/>
              <w:rPr>
                <w:rFonts w:ascii="宋体" w:hAnsi="宋体"/>
                <w:sz w:val="18"/>
                <w:szCs w:val="18"/>
              </w:rPr>
            </w:pPr>
          </w:p>
        </w:tc>
      </w:tr>
      <w:tr>
        <w:tblPrEx/>
        <w:trPr>
          <w:trHeight w:val="524" w:hRule="exact"/>
          <w:jc w:val="center"/>
        </w:trPr>
        <w:tc>
          <w:tcPr>
            <w:tcW w:w="1544" w:type="dxa"/>
            <w:tcBorders/>
            <w:vAlign w:val="center"/>
          </w:tcPr>
          <w:p>
            <w:pPr>
              <w:pStyle w:val="style0"/>
              <w:jc w:val="center"/>
              <w:rPr>
                <w:rFonts w:ascii="宋体" w:hAnsi="宋体"/>
                <w:sz w:val="18"/>
                <w:szCs w:val="18"/>
              </w:rPr>
            </w:pPr>
            <w:r>
              <w:rPr>
                <w:rFonts w:ascii="宋体" w:hAnsi="宋体" w:hint="eastAsia"/>
                <w:sz w:val="18"/>
                <w:szCs w:val="18"/>
              </w:rPr>
              <w:t>手    机</w:t>
            </w:r>
          </w:p>
        </w:tc>
        <w:tc>
          <w:tcPr>
            <w:tcW w:w="4088" w:type="dxa"/>
            <w:gridSpan w:val="5"/>
            <w:tcBorders/>
            <w:vAlign w:val="center"/>
          </w:tcPr>
          <w:p>
            <w:pPr>
              <w:pStyle w:val="style0"/>
              <w:jc w:val="center"/>
              <w:rPr>
                <w:rFonts w:ascii="宋体" w:hAnsi="宋体"/>
                <w:sz w:val="18"/>
                <w:szCs w:val="18"/>
              </w:rPr>
            </w:pPr>
          </w:p>
        </w:tc>
        <w:tc>
          <w:tcPr>
            <w:tcW w:w="1032" w:type="dxa"/>
            <w:vMerge w:val="restart"/>
            <w:tcBorders/>
            <w:shd w:val="clear" w:color="auto" w:fill="auto"/>
            <w:vAlign w:val="center"/>
          </w:tcPr>
          <w:p>
            <w:pPr>
              <w:pStyle w:val="style0"/>
              <w:jc w:val="center"/>
              <w:rPr>
                <w:rFonts w:ascii="宋体" w:hAnsi="宋体"/>
                <w:sz w:val="18"/>
                <w:szCs w:val="18"/>
              </w:rPr>
            </w:pPr>
            <w:r>
              <w:rPr>
                <w:rFonts w:ascii="宋体" w:hAnsi="宋体" w:hint="eastAsia"/>
                <w:sz w:val="18"/>
                <w:szCs w:val="18"/>
              </w:rPr>
              <w:t>学历背景</w:t>
            </w:r>
          </w:p>
        </w:tc>
        <w:tc>
          <w:tcPr>
            <w:tcW w:w="1790" w:type="dxa"/>
            <w:tcBorders/>
            <w:shd w:val="clear" w:color="auto" w:fill="auto"/>
            <w:vAlign w:val="center"/>
          </w:tcPr>
          <w:p>
            <w:pPr>
              <w:pStyle w:val="style0"/>
              <w:jc w:val="center"/>
              <w:rPr>
                <w:rFonts w:ascii="宋体" w:hAnsi="宋体"/>
                <w:sz w:val="18"/>
                <w:szCs w:val="18"/>
              </w:rPr>
            </w:pPr>
            <w:r>
              <w:rPr>
                <w:rFonts w:ascii="宋体" w:hAnsi="宋体" w:hint="eastAsia"/>
                <w:sz w:val="18"/>
                <w:szCs w:val="18"/>
              </w:rPr>
              <w:t>学业状态</w:t>
            </w:r>
          </w:p>
        </w:tc>
        <w:tc>
          <w:tcPr>
            <w:tcW w:w="1764" w:type="dxa"/>
            <w:tcBorders/>
            <w:shd w:val="clear" w:color="auto" w:fill="auto"/>
            <w:vAlign w:val="center"/>
          </w:tcPr>
          <w:p>
            <w:pPr>
              <w:pStyle w:val="style0"/>
              <w:jc w:val="center"/>
              <w:rPr>
                <w:rFonts w:ascii="宋体" w:hAnsi="宋体"/>
                <w:sz w:val="18"/>
                <w:szCs w:val="18"/>
              </w:rPr>
            </w:pPr>
            <w:r>
              <w:rPr>
                <w:rFonts w:ascii="宋体" w:hAnsi="宋体" w:hint="eastAsia"/>
                <w:sz w:val="18"/>
                <w:szCs w:val="18"/>
              </w:rPr>
              <w:t>（在读/毕业/工作）</w:t>
            </w:r>
          </w:p>
        </w:tc>
      </w:tr>
      <w:tr>
        <w:tblPrEx/>
        <w:trPr>
          <w:trHeight w:val="524" w:hRule="exact"/>
          <w:jc w:val="center"/>
        </w:trPr>
        <w:tc>
          <w:tcPr>
            <w:tcW w:w="1544" w:type="dxa"/>
            <w:tcBorders/>
            <w:vAlign w:val="center"/>
          </w:tcPr>
          <w:p>
            <w:pPr>
              <w:pStyle w:val="style0"/>
              <w:jc w:val="center"/>
              <w:rPr>
                <w:rFonts w:ascii="宋体" w:hAnsi="宋体"/>
                <w:sz w:val="18"/>
                <w:szCs w:val="18"/>
              </w:rPr>
            </w:pPr>
            <w:r>
              <w:rPr>
                <w:rFonts w:ascii="宋体" w:hAnsi="宋体" w:hint="eastAsia"/>
                <w:sz w:val="18"/>
                <w:szCs w:val="18"/>
              </w:rPr>
              <w:t>护照号</w:t>
            </w:r>
          </w:p>
        </w:tc>
        <w:tc>
          <w:tcPr>
            <w:tcW w:w="4088" w:type="dxa"/>
            <w:gridSpan w:val="5"/>
            <w:tcBorders/>
            <w:vAlign w:val="center"/>
          </w:tcPr>
          <w:p>
            <w:pPr>
              <w:pStyle w:val="style0"/>
              <w:jc w:val="center"/>
              <w:rPr>
                <w:rFonts w:ascii="宋体" w:hAnsi="宋体"/>
                <w:sz w:val="18"/>
                <w:szCs w:val="18"/>
              </w:rPr>
            </w:pPr>
          </w:p>
        </w:tc>
        <w:tc>
          <w:tcPr>
            <w:tcW w:w="1032" w:type="dxa"/>
            <w:vMerge w:val="continue"/>
            <w:tcBorders/>
            <w:shd w:val="clear" w:color="auto" w:fill="auto"/>
            <w:vAlign w:val="center"/>
          </w:tcPr>
          <w:p>
            <w:pPr>
              <w:pStyle w:val="style0"/>
              <w:jc w:val="center"/>
              <w:rPr>
                <w:rFonts w:ascii="宋体" w:hAnsi="宋体"/>
                <w:sz w:val="18"/>
                <w:szCs w:val="18"/>
              </w:rPr>
            </w:pPr>
          </w:p>
        </w:tc>
        <w:tc>
          <w:tcPr>
            <w:tcW w:w="1790" w:type="dxa"/>
            <w:tcBorders/>
            <w:shd w:val="clear" w:color="auto" w:fill="auto"/>
            <w:vAlign w:val="center"/>
          </w:tcPr>
          <w:p>
            <w:pPr>
              <w:pStyle w:val="style0"/>
              <w:jc w:val="center"/>
              <w:rPr>
                <w:rFonts w:ascii="宋体" w:hAnsi="宋体"/>
                <w:sz w:val="18"/>
                <w:szCs w:val="18"/>
              </w:rPr>
            </w:pPr>
            <w:r>
              <w:rPr>
                <w:rFonts w:ascii="宋体" w:hAnsi="宋体" w:hint="eastAsia"/>
                <w:sz w:val="18"/>
                <w:szCs w:val="18"/>
              </w:rPr>
              <w:t>在读/毕业院校</w:t>
            </w:r>
          </w:p>
        </w:tc>
        <w:tc>
          <w:tcPr>
            <w:tcW w:w="1764" w:type="dxa"/>
            <w:tcBorders/>
            <w:shd w:val="clear" w:color="auto" w:fill="auto"/>
            <w:vAlign w:val="center"/>
          </w:tcPr>
          <w:p>
            <w:pPr>
              <w:pStyle w:val="style0"/>
              <w:jc w:val="center"/>
              <w:rPr>
                <w:rFonts w:ascii="宋体" w:hAnsi="宋体"/>
                <w:sz w:val="18"/>
                <w:szCs w:val="18"/>
              </w:rPr>
            </w:pPr>
          </w:p>
        </w:tc>
      </w:tr>
      <w:tr>
        <w:tblPrEx/>
        <w:trPr>
          <w:trHeight w:val="524" w:hRule="exact"/>
          <w:jc w:val="center"/>
        </w:trPr>
        <w:tc>
          <w:tcPr>
            <w:tcW w:w="1544" w:type="dxa"/>
            <w:vMerge w:val="restart"/>
            <w:tcBorders/>
            <w:vAlign w:val="center"/>
          </w:tcPr>
          <w:p>
            <w:pPr>
              <w:pStyle w:val="style0"/>
              <w:jc w:val="center"/>
              <w:rPr>
                <w:rFonts w:ascii="宋体" w:cs="宋体" w:hAnsi="宋体"/>
                <w:kern w:val="0"/>
                <w:sz w:val="18"/>
                <w:szCs w:val="18"/>
              </w:rPr>
            </w:pPr>
            <w:r>
              <w:rPr>
                <w:rFonts w:ascii="宋体" w:cs="宋体" w:hAnsi="宋体" w:hint="eastAsia"/>
                <w:kern w:val="0"/>
                <w:sz w:val="18"/>
                <w:szCs w:val="18"/>
              </w:rPr>
              <w:t>基础课程</w:t>
            </w:r>
          </w:p>
          <w:p>
            <w:pPr>
              <w:pStyle w:val="style0"/>
              <w:jc w:val="center"/>
              <w:rPr>
                <w:rFonts w:ascii="宋体" w:cs="宋体" w:hAnsi="宋体"/>
                <w:kern w:val="0"/>
                <w:sz w:val="18"/>
                <w:szCs w:val="18"/>
              </w:rPr>
            </w:pPr>
            <w:r>
              <w:rPr>
                <w:rFonts w:ascii="宋体" w:cs="宋体" w:hAnsi="宋体" w:hint="eastAsia"/>
                <w:kern w:val="0"/>
                <w:sz w:val="18"/>
                <w:szCs w:val="18"/>
              </w:rPr>
              <w:t>(请填</w:t>
            </w:r>
          </w:p>
          <w:p>
            <w:pPr>
              <w:pStyle w:val="style0"/>
              <w:jc w:val="center"/>
              <w:rPr>
                <w:rFonts w:ascii="宋体" w:cs="宋体" w:hAnsi="宋体"/>
                <w:kern w:val="0"/>
                <w:sz w:val="18"/>
                <w:szCs w:val="18"/>
              </w:rPr>
            </w:pPr>
            <w:r>
              <w:rPr>
                <w:rFonts w:ascii="宋体" w:cs="宋体" w:hAnsi="宋体" w:hint="eastAsia"/>
                <w:kern w:val="0"/>
                <w:sz w:val="18"/>
                <w:szCs w:val="18"/>
              </w:rPr>
              <w:t>成绩+学分，例9</w:t>
            </w:r>
            <w:r>
              <w:rPr>
                <w:rFonts w:ascii="宋体" w:cs="宋体" w:hAnsi="宋体"/>
                <w:kern w:val="0"/>
                <w:sz w:val="18"/>
                <w:szCs w:val="18"/>
              </w:rPr>
              <w:t>2/3</w:t>
            </w:r>
            <w:r>
              <w:rPr>
                <w:rFonts w:ascii="宋体" w:cs="宋体" w:hAnsi="宋体" w:hint="eastAsia"/>
                <w:kern w:val="0"/>
                <w:sz w:val="18"/>
                <w:szCs w:val="18"/>
              </w:rPr>
              <w:t>)</w:t>
            </w:r>
          </w:p>
          <w:p>
            <w:pPr>
              <w:pStyle w:val="style0"/>
              <w:jc w:val="center"/>
              <w:rPr>
                <w:rFonts w:ascii="宋体" w:hAnsi="宋体"/>
                <w:sz w:val="18"/>
                <w:szCs w:val="18"/>
              </w:rPr>
            </w:pPr>
          </w:p>
        </w:tc>
        <w:tc>
          <w:tcPr>
            <w:tcW w:w="1159" w:type="dxa"/>
            <w:tcBorders/>
            <w:shd w:val="clear" w:color="auto" w:fill="auto"/>
            <w:vAlign w:val="center"/>
          </w:tcPr>
          <w:p>
            <w:pPr>
              <w:pStyle w:val="style0"/>
              <w:jc w:val="center"/>
              <w:rPr>
                <w:rFonts w:ascii="宋体" w:hAnsi="宋体"/>
                <w:sz w:val="18"/>
                <w:szCs w:val="18"/>
              </w:rPr>
            </w:pPr>
            <w:r>
              <w:rPr>
                <w:rFonts w:ascii="宋体" w:cs="宋体" w:hAnsi="宋体" w:hint="eastAsia"/>
                <w:kern w:val="0"/>
                <w:sz w:val="18"/>
                <w:szCs w:val="18"/>
              </w:rPr>
              <w:t>会 计</w:t>
            </w:r>
          </w:p>
        </w:tc>
        <w:tc>
          <w:tcPr>
            <w:tcW w:w="860" w:type="dxa"/>
            <w:tcBorders/>
            <w:shd w:val="clear" w:color="auto" w:fill="auto"/>
            <w:vAlign w:val="center"/>
          </w:tcPr>
          <w:p>
            <w:pPr>
              <w:pStyle w:val="style0"/>
              <w:jc w:val="center"/>
              <w:rPr>
                <w:rFonts w:ascii="宋体" w:hAnsi="宋体"/>
                <w:sz w:val="18"/>
                <w:szCs w:val="18"/>
              </w:rPr>
            </w:pPr>
          </w:p>
        </w:tc>
        <w:tc>
          <w:tcPr>
            <w:tcW w:w="1207" w:type="dxa"/>
            <w:gridSpan w:val="2"/>
            <w:tcBorders/>
            <w:shd w:val="clear" w:color="auto" w:fill="auto"/>
            <w:vAlign w:val="center"/>
          </w:tcPr>
          <w:p>
            <w:pPr>
              <w:pStyle w:val="style0"/>
              <w:jc w:val="center"/>
              <w:rPr>
                <w:rFonts w:ascii="宋体" w:hAnsi="宋体"/>
                <w:b/>
                <w:sz w:val="18"/>
                <w:szCs w:val="18"/>
              </w:rPr>
            </w:pPr>
            <w:r>
              <w:rPr>
                <w:rFonts w:ascii="宋体" w:cs="宋体" w:hAnsi="宋体" w:hint="eastAsia"/>
                <w:kern w:val="0"/>
                <w:sz w:val="18"/>
                <w:szCs w:val="18"/>
              </w:rPr>
              <w:t>金 融</w:t>
            </w:r>
          </w:p>
        </w:tc>
        <w:tc>
          <w:tcPr>
            <w:tcW w:w="862" w:type="dxa"/>
            <w:tcBorders/>
            <w:shd w:val="clear" w:color="auto" w:fill="auto"/>
            <w:vAlign w:val="center"/>
          </w:tcPr>
          <w:p>
            <w:pPr>
              <w:pStyle w:val="style0"/>
              <w:jc w:val="center"/>
              <w:rPr>
                <w:rFonts w:ascii="宋体" w:hAnsi="宋体"/>
                <w:sz w:val="18"/>
                <w:szCs w:val="18"/>
              </w:rPr>
            </w:pPr>
          </w:p>
        </w:tc>
        <w:tc>
          <w:tcPr>
            <w:tcW w:w="1032" w:type="dxa"/>
            <w:vMerge w:val="continue"/>
            <w:tcBorders/>
            <w:shd w:val="clear" w:color="auto" w:fill="auto"/>
            <w:vAlign w:val="center"/>
          </w:tcPr>
          <w:p>
            <w:pPr>
              <w:pStyle w:val="style0"/>
              <w:jc w:val="center"/>
              <w:rPr>
                <w:rFonts w:ascii="宋体" w:hAnsi="宋体"/>
                <w:sz w:val="18"/>
                <w:szCs w:val="18"/>
              </w:rPr>
            </w:pPr>
          </w:p>
        </w:tc>
        <w:tc>
          <w:tcPr>
            <w:tcW w:w="1790" w:type="dxa"/>
            <w:tcBorders/>
            <w:shd w:val="clear" w:color="auto" w:fill="auto"/>
            <w:vAlign w:val="center"/>
          </w:tcPr>
          <w:p>
            <w:pPr>
              <w:pStyle w:val="style0"/>
              <w:jc w:val="center"/>
              <w:rPr>
                <w:rFonts w:ascii="宋体" w:hAnsi="宋体"/>
                <w:sz w:val="18"/>
                <w:szCs w:val="18"/>
              </w:rPr>
            </w:pPr>
            <w:r>
              <w:rPr>
                <w:rFonts w:ascii="宋体" w:hAnsi="宋体" w:hint="eastAsia"/>
                <w:sz w:val="18"/>
                <w:szCs w:val="18"/>
              </w:rPr>
              <w:t>所学专业</w:t>
            </w:r>
          </w:p>
        </w:tc>
        <w:tc>
          <w:tcPr>
            <w:tcW w:w="1764" w:type="dxa"/>
            <w:tcBorders/>
            <w:shd w:val="clear" w:color="auto" w:fill="auto"/>
            <w:vAlign w:val="center"/>
          </w:tcPr>
          <w:p>
            <w:pPr>
              <w:pStyle w:val="style0"/>
              <w:jc w:val="center"/>
              <w:rPr>
                <w:rFonts w:ascii="宋体" w:hAnsi="宋体"/>
                <w:sz w:val="18"/>
                <w:szCs w:val="18"/>
              </w:rPr>
            </w:pPr>
          </w:p>
        </w:tc>
      </w:tr>
      <w:tr>
        <w:tblPrEx/>
        <w:trPr>
          <w:trHeight w:val="524" w:hRule="exact"/>
          <w:jc w:val="center"/>
        </w:trPr>
        <w:tc>
          <w:tcPr>
            <w:tcW w:w="1544" w:type="dxa"/>
            <w:vMerge w:val="continue"/>
            <w:tcBorders/>
            <w:vAlign w:val="center"/>
          </w:tcPr>
          <w:p>
            <w:pPr>
              <w:pStyle w:val="style0"/>
              <w:jc w:val="center"/>
              <w:rPr>
                <w:rFonts w:ascii="宋体" w:hAnsi="宋体"/>
                <w:sz w:val="18"/>
                <w:szCs w:val="18"/>
              </w:rPr>
            </w:pPr>
          </w:p>
        </w:tc>
        <w:tc>
          <w:tcPr>
            <w:tcW w:w="1159" w:type="dxa"/>
            <w:tcBorders/>
            <w:shd w:val="clear" w:color="auto" w:fill="auto"/>
            <w:vAlign w:val="center"/>
          </w:tcPr>
          <w:p>
            <w:pPr>
              <w:pStyle w:val="style0"/>
              <w:jc w:val="center"/>
              <w:rPr>
                <w:rFonts w:ascii="宋体" w:hAnsi="宋体"/>
                <w:sz w:val="18"/>
                <w:szCs w:val="18"/>
              </w:rPr>
            </w:pPr>
            <w:r>
              <w:rPr>
                <w:rFonts w:ascii="宋体" w:cs="宋体" w:hAnsi="宋体" w:hint="eastAsia"/>
                <w:kern w:val="0"/>
                <w:sz w:val="18"/>
                <w:szCs w:val="18"/>
              </w:rPr>
              <w:t>微积分</w:t>
            </w:r>
          </w:p>
        </w:tc>
        <w:tc>
          <w:tcPr>
            <w:tcW w:w="860" w:type="dxa"/>
            <w:tcBorders/>
            <w:shd w:val="clear" w:color="auto" w:fill="auto"/>
            <w:vAlign w:val="center"/>
          </w:tcPr>
          <w:p>
            <w:pPr>
              <w:pStyle w:val="style0"/>
              <w:jc w:val="center"/>
              <w:rPr>
                <w:rFonts w:ascii="宋体" w:hAnsi="宋体"/>
                <w:sz w:val="18"/>
                <w:szCs w:val="18"/>
              </w:rPr>
            </w:pPr>
          </w:p>
        </w:tc>
        <w:tc>
          <w:tcPr>
            <w:tcW w:w="1207" w:type="dxa"/>
            <w:gridSpan w:val="2"/>
            <w:tcBorders/>
            <w:shd w:val="clear" w:color="auto" w:fill="auto"/>
            <w:vAlign w:val="center"/>
          </w:tcPr>
          <w:p>
            <w:pPr>
              <w:pStyle w:val="style0"/>
              <w:jc w:val="center"/>
              <w:rPr>
                <w:rFonts w:ascii="宋体" w:hAnsi="宋体"/>
                <w:sz w:val="18"/>
                <w:szCs w:val="18"/>
              </w:rPr>
            </w:pPr>
            <w:r>
              <w:rPr>
                <w:rFonts w:ascii="宋体" w:cs="宋体" w:hAnsi="宋体" w:hint="eastAsia"/>
                <w:kern w:val="0"/>
                <w:sz w:val="18"/>
                <w:szCs w:val="18"/>
              </w:rPr>
              <w:t>线性代数</w:t>
            </w:r>
          </w:p>
        </w:tc>
        <w:tc>
          <w:tcPr>
            <w:tcW w:w="862" w:type="dxa"/>
            <w:tcBorders/>
            <w:shd w:val="clear" w:color="auto" w:fill="auto"/>
            <w:vAlign w:val="center"/>
          </w:tcPr>
          <w:p>
            <w:pPr>
              <w:pStyle w:val="style0"/>
              <w:jc w:val="center"/>
              <w:rPr>
                <w:rFonts w:ascii="宋体" w:hAnsi="宋体"/>
                <w:sz w:val="18"/>
                <w:szCs w:val="18"/>
              </w:rPr>
            </w:pPr>
          </w:p>
        </w:tc>
        <w:tc>
          <w:tcPr>
            <w:tcW w:w="1032" w:type="dxa"/>
            <w:vMerge w:val="continue"/>
            <w:tcBorders/>
            <w:shd w:val="clear" w:color="auto" w:fill="auto"/>
            <w:vAlign w:val="center"/>
          </w:tcPr>
          <w:p>
            <w:pPr>
              <w:pStyle w:val="style0"/>
              <w:jc w:val="center"/>
              <w:rPr>
                <w:rFonts w:ascii="宋体" w:hAnsi="宋体"/>
                <w:sz w:val="18"/>
                <w:szCs w:val="18"/>
              </w:rPr>
            </w:pPr>
          </w:p>
        </w:tc>
        <w:tc>
          <w:tcPr>
            <w:tcW w:w="1790" w:type="dxa"/>
            <w:tcBorders/>
            <w:vAlign w:val="center"/>
          </w:tcPr>
          <w:p>
            <w:pPr>
              <w:pStyle w:val="style0"/>
              <w:jc w:val="center"/>
              <w:rPr>
                <w:rFonts w:ascii="宋体" w:hAnsi="宋体"/>
                <w:sz w:val="18"/>
                <w:szCs w:val="18"/>
              </w:rPr>
            </w:pPr>
            <w:r>
              <w:rPr>
                <w:rFonts w:ascii="宋体" w:hAnsi="宋体" w:hint="eastAsia"/>
                <w:sz w:val="18"/>
                <w:szCs w:val="18"/>
              </w:rPr>
              <w:t>(拟</w:t>
            </w:r>
            <w:r>
              <w:rPr>
                <w:rFonts w:ascii="宋体" w:hAnsi="宋体"/>
                <w:sz w:val="18"/>
                <w:szCs w:val="18"/>
              </w:rPr>
              <w:t>)</w:t>
            </w:r>
            <w:r>
              <w:rPr>
                <w:rFonts w:ascii="宋体" w:hAnsi="宋体" w:hint="eastAsia"/>
                <w:sz w:val="18"/>
                <w:szCs w:val="18"/>
              </w:rPr>
              <w:t>毕业时间</w:t>
            </w:r>
          </w:p>
        </w:tc>
        <w:tc>
          <w:tcPr>
            <w:tcW w:w="1764" w:type="dxa"/>
            <w:tcBorders/>
            <w:vAlign w:val="center"/>
          </w:tcPr>
          <w:p>
            <w:pPr>
              <w:pStyle w:val="style0"/>
              <w:jc w:val="center"/>
              <w:rPr>
                <w:rFonts w:ascii="宋体" w:hAnsi="宋体"/>
                <w:sz w:val="18"/>
                <w:szCs w:val="18"/>
              </w:rPr>
            </w:pPr>
          </w:p>
        </w:tc>
      </w:tr>
      <w:tr>
        <w:tblPrEx/>
        <w:trPr>
          <w:trHeight w:val="782" w:hRule="exact"/>
          <w:jc w:val="center"/>
        </w:trPr>
        <w:tc>
          <w:tcPr>
            <w:tcW w:w="1544" w:type="dxa"/>
            <w:vMerge w:val="continue"/>
            <w:tcBorders/>
            <w:vAlign w:val="center"/>
          </w:tcPr>
          <w:p>
            <w:pPr>
              <w:pStyle w:val="style0"/>
              <w:jc w:val="center"/>
              <w:rPr>
                <w:rFonts w:ascii="宋体" w:hAnsi="宋体"/>
                <w:sz w:val="18"/>
                <w:szCs w:val="18"/>
              </w:rPr>
            </w:pPr>
          </w:p>
        </w:tc>
        <w:tc>
          <w:tcPr>
            <w:tcW w:w="1159" w:type="dxa"/>
            <w:tcBorders/>
            <w:shd w:val="clear" w:color="auto" w:fill="auto"/>
            <w:vAlign w:val="center"/>
          </w:tcPr>
          <w:p>
            <w:pPr>
              <w:pStyle w:val="style0"/>
              <w:jc w:val="center"/>
              <w:rPr>
                <w:rFonts w:ascii="宋体" w:hAnsi="宋体"/>
                <w:sz w:val="18"/>
                <w:szCs w:val="18"/>
              </w:rPr>
            </w:pPr>
            <w:r>
              <w:rPr>
                <w:rFonts w:ascii="宋体" w:cs="宋体" w:hAnsi="宋体" w:hint="eastAsia"/>
                <w:kern w:val="0"/>
                <w:sz w:val="18"/>
                <w:szCs w:val="18"/>
              </w:rPr>
              <w:t xml:space="preserve">宏观经济学 </w:t>
            </w:r>
          </w:p>
        </w:tc>
        <w:tc>
          <w:tcPr>
            <w:tcW w:w="860" w:type="dxa"/>
            <w:tcBorders/>
            <w:shd w:val="clear" w:color="auto" w:fill="auto"/>
            <w:vAlign w:val="center"/>
          </w:tcPr>
          <w:p>
            <w:pPr>
              <w:pStyle w:val="style0"/>
              <w:jc w:val="center"/>
              <w:rPr>
                <w:rFonts w:ascii="宋体" w:hAnsi="宋体"/>
                <w:sz w:val="18"/>
                <w:szCs w:val="18"/>
              </w:rPr>
            </w:pPr>
          </w:p>
        </w:tc>
        <w:tc>
          <w:tcPr>
            <w:tcW w:w="1207" w:type="dxa"/>
            <w:gridSpan w:val="2"/>
            <w:tcBorders/>
            <w:shd w:val="clear" w:color="auto" w:fill="auto"/>
            <w:vAlign w:val="center"/>
          </w:tcPr>
          <w:p>
            <w:pPr>
              <w:pStyle w:val="style0"/>
              <w:jc w:val="center"/>
              <w:rPr>
                <w:rFonts w:ascii="宋体" w:hAnsi="宋体"/>
                <w:sz w:val="18"/>
                <w:szCs w:val="18"/>
              </w:rPr>
            </w:pPr>
            <w:r>
              <w:rPr>
                <w:rFonts w:ascii="宋体" w:cs="宋体" w:hAnsi="宋体" w:hint="eastAsia"/>
                <w:kern w:val="0"/>
                <w:sz w:val="18"/>
                <w:szCs w:val="18"/>
              </w:rPr>
              <w:t>微观经济学</w:t>
            </w:r>
          </w:p>
        </w:tc>
        <w:tc>
          <w:tcPr>
            <w:tcW w:w="862" w:type="dxa"/>
            <w:tcBorders/>
            <w:shd w:val="clear" w:color="auto" w:fill="auto"/>
            <w:vAlign w:val="center"/>
          </w:tcPr>
          <w:p>
            <w:pPr>
              <w:pStyle w:val="style0"/>
              <w:jc w:val="center"/>
              <w:rPr>
                <w:rFonts w:ascii="宋体" w:hAnsi="宋体"/>
                <w:sz w:val="18"/>
                <w:szCs w:val="18"/>
              </w:rPr>
            </w:pPr>
          </w:p>
        </w:tc>
        <w:tc>
          <w:tcPr>
            <w:tcW w:w="1032" w:type="dxa"/>
            <w:vMerge w:val="continue"/>
            <w:tcBorders/>
            <w:shd w:val="clear" w:color="auto" w:fill="auto"/>
            <w:vAlign w:val="center"/>
          </w:tcPr>
          <w:p>
            <w:pPr>
              <w:pStyle w:val="style0"/>
              <w:jc w:val="center"/>
              <w:rPr>
                <w:rFonts w:ascii="宋体" w:hAnsi="宋体"/>
                <w:sz w:val="18"/>
                <w:szCs w:val="18"/>
              </w:rPr>
            </w:pPr>
          </w:p>
        </w:tc>
        <w:tc>
          <w:tcPr>
            <w:tcW w:w="1790" w:type="dxa"/>
            <w:tcBorders/>
            <w:shd w:val="clear" w:color="auto" w:fill="auto"/>
            <w:vAlign w:val="center"/>
          </w:tcPr>
          <w:p>
            <w:pPr>
              <w:pStyle w:val="style0"/>
              <w:jc w:val="center"/>
              <w:rPr>
                <w:rFonts w:ascii="宋体" w:hAnsi="宋体"/>
                <w:sz w:val="18"/>
                <w:szCs w:val="18"/>
              </w:rPr>
            </w:pPr>
            <w:r>
              <w:rPr>
                <w:rFonts w:ascii="宋体" w:hAnsi="宋体" w:hint="eastAsia"/>
                <w:sz w:val="18"/>
                <w:szCs w:val="18"/>
              </w:rPr>
              <w:t>最高学历</w:t>
            </w:r>
          </w:p>
        </w:tc>
        <w:tc>
          <w:tcPr>
            <w:tcW w:w="1764" w:type="dxa"/>
            <w:tcBorders/>
            <w:shd w:val="clear" w:color="auto" w:fill="auto"/>
            <w:vAlign w:val="center"/>
          </w:tcPr>
          <w:p>
            <w:pPr>
              <w:pStyle w:val="style0"/>
              <w:jc w:val="center"/>
              <w:rPr>
                <w:rFonts w:ascii="宋体" w:hAnsi="宋体"/>
                <w:sz w:val="18"/>
                <w:szCs w:val="18"/>
              </w:rPr>
            </w:pPr>
          </w:p>
        </w:tc>
      </w:tr>
      <w:tr>
        <w:tblPrEx/>
        <w:trPr>
          <w:trHeight w:val="524" w:hRule="exact"/>
          <w:jc w:val="center"/>
        </w:trPr>
        <w:tc>
          <w:tcPr>
            <w:tcW w:w="1544" w:type="dxa"/>
            <w:vMerge w:val="continue"/>
            <w:tcBorders/>
            <w:vAlign w:val="center"/>
          </w:tcPr>
          <w:p>
            <w:pPr>
              <w:pStyle w:val="style0"/>
              <w:jc w:val="center"/>
              <w:rPr>
                <w:rFonts w:ascii="宋体" w:hAnsi="宋体"/>
                <w:sz w:val="18"/>
                <w:szCs w:val="18"/>
              </w:rPr>
            </w:pPr>
          </w:p>
        </w:tc>
        <w:tc>
          <w:tcPr>
            <w:tcW w:w="1159" w:type="dxa"/>
            <w:tcBorders/>
            <w:shd w:val="clear" w:color="auto" w:fill="auto"/>
            <w:vAlign w:val="center"/>
          </w:tcPr>
          <w:p>
            <w:pPr>
              <w:pStyle w:val="style0"/>
              <w:jc w:val="center"/>
              <w:rPr>
                <w:rFonts w:ascii="宋体" w:cs="宋体" w:hAnsi="宋体"/>
                <w:kern w:val="0"/>
                <w:sz w:val="18"/>
                <w:szCs w:val="18"/>
              </w:rPr>
            </w:pPr>
            <w:r>
              <w:rPr>
                <w:rFonts w:ascii="宋体" w:cs="宋体" w:hAnsi="宋体" w:hint="eastAsia"/>
                <w:kern w:val="0"/>
                <w:sz w:val="18"/>
                <w:szCs w:val="18"/>
              </w:rPr>
              <w:t>统计学</w:t>
            </w:r>
          </w:p>
        </w:tc>
        <w:tc>
          <w:tcPr>
            <w:tcW w:w="2929" w:type="dxa"/>
            <w:gridSpan w:val="4"/>
            <w:tcBorders/>
            <w:shd w:val="clear" w:color="auto" w:fill="auto"/>
            <w:vAlign w:val="center"/>
          </w:tcPr>
          <w:p>
            <w:pPr>
              <w:pStyle w:val="style0"/>
              <w:jc w:val="center"/>
              <w:rPr>
                <w:rFonts w:ascii="宋体" w:hAnsi="宋体"/>
                <w:sz w:val="18"/>
                <w:szCs w:val="18"/>
              </w:rPr>
            </w:pPr>
          </w:p>
        </w:tc>
        <w:tc>
          <w:tcPr>
            <w:tcW w:w="1032" w:type="dxa"/>
            <w:vMerge w:val="continue"/>
            <w:tcBorders/>
            <w:shd w:val="clear" w:color="auto" w:fill="auto"/>
            <w:vAlign w:val="center"/>
          </w:tcPr>
          <w:p>
            <w:pPr>
              <w:pStyle w:val="style0"/>
              <w:jc w:val="center"/>
              <w:rPr>
                <w:rFonts w:ascii="宋体" w:hAnsi="宋体"/>
                <w:sz w:val="18"/>
                <w:szCs w:val="18"/>
              </w:rPr>
            </w:pPr>
          </w:p>
        </w:tc>
        <w:tc>
          <w:tcPr>
            <w:tcW w:w="1790" w:type="dxa"/>
            <w:tcBorders/>
            <w:shd w:val="clear" w:color="auto" w:fill="auto"/>
            <w:vAlign w:val="center"/>
          </w:tcPr>
          <w:p>
            <w:pPr>
              <w:pStyle w:val="style0"/>
              <w:jc w:val="center"/>
              <w:rPr>
                <w:rFonts w:ascii="宋体" w:hAnsi="宋体"/>
                <w:sz w:val="18"/>
                <w:szCs w:val="18"/>
              </w:rPr>
            </w:pPr>
            <w:r>
              <w:rPr>
                <w:rFonts w:ascii="宋体" w:hAnsi="宋体" w:hint="eastAsia"/>
                <w:sz w:val="18"/>
                <w:szCs w:val="18"/>
              </w:rPr>
              <w:t>平均成绩</w:t>
            </w:r>
          </w:p>
        </w:tc>
        <w:tc>
          <w:tcPr>
            <w:tcW w:w="1764" w:type="dxa"/>
            <w:tcBorders/>
            <w:shd w:val="clear" w:color="auto" w:fill="auto"/>
            <w:vAlign w:val="center"/>
          </w:tcPr>
          <w:p>
            <w:pPr>
              <w:pStyle w:val="style0"/>
              <w:jc w:val="center"/>
              <w:rPr>
                <w:rFonts w:ascii="宋体" w:hAnsi="宋体"/>
                <w:sz w:val="18"/>
                <w:szCs w:val="18"/>
              </w:rPr>
            </w:pPr>
          </w:p>
        </w:tc>
      </w:tr>
      <w:tr>
        <w:tblPrEx/>
        <w:trPr>
          <w:trHeight w:val="524" w:hRule="exact"/>
          <w:jc w:val="center"/>
        </w:trPr>
        <w:tc>
          <w:tcPr>
            <w:tcW w:w="1544" w:type="dxa"/>
            <w:vMerge w:val="restart"/>
            <w:tcBorders/>
            <w:vAlign w:val="center"/>
          </w:tcPr>
          <w:p>
            <w:pPr>
              <w:pStyle w:val="style0"/>
              <w:jc w:val="center"/>
              <w:rPr>
                <w:rFonts w:ascii="宋体" w:hAnsi="宋体"/>
                <w:sz w:val="18"/>
                <w:szCs w:val="18"/>
              </w:rPr>
            </w:pPr>
            <w:r>
              <w:rPr>
                <w:rFonts w:ascii="宋体" w:hAnsi="宋体" w:hint="eastAsia"/>
                <w:sz w:val="18"/>
                <w:szCs w:val="18"/>
              </w:rPr>
              <w:t>英语成绩</w:t>
            </w:r>
          </w:p>
        </w:tc>
        <w:tc>
          <w:tcPr>
            <w:tcW w:w="1159" w:type="dxa"/>
            <w:tcBorders/>
            <w:shd w:val="clear" w:color="auto" w:fill="auto"/>
            <w:vAlign w:val="center"/>
          </w:tcPr>
          <w:p>
            <w:pPr>
              <w:pStyle w:val="style0"/>
              <w:jc w:val="center"/>
              <w:rPr>
                <w:rFonts w:ascii="宋体" w:hAnsi="宋体"/>
                <w:sz w:val="18"/>
                <w:szCs w:val="18"/>
              </w:rPr>
            </w:pPr>
            <w:r>
              <w:rPr>
                <w:rFonts w:ascii="宋体" w:hAnsi="宋体" w:hint="eastAsia"/>
                <w:sz w:val="18"/>
                <w:szCs w:val="18"/>
              </w:rPr>
              <w:t>托 福</w:t>
            </w:r>
          </w:p>
        </w:tc>
        <w:tc>
          <w:tcPr>
            <w:tcW w:w="2929" w:type="dxa"/>
            <w:gridSpan w:val="4"/>
            <w:tcBorders/>
            <w:shd w:val="clear" w:color="auto" w:fill="auto"/>
            <w:vAlign w:val="center"/>
          </w:tcPr>
          <w:p>
            <w:pPr>
              <w:pStyle w:val="style0"/>
              <w:jc w:val="center"/>
              <w:rPr>
                <w:rFonts w:ascii="宋体" w:hAnsi="宋体"/>
                <w:sz w:val="18"/>
                <w:szCs w:val="18"/>
              </w:rPr>
            </w:pPr>
          </w:p>
        </w:tc>
        <w:tc>
          <w:tcPr>
            <w:tcW w:w="1032" w:type="dxa"/>
            <w:vMerge w:val="continue"/>
            <w:tcBorders/>
            <w:vAlign w:val="center"/>
          </w:tcPr>
          <w:p>
            <w:pPr>
              <w:pStyle w:val="style0"/>
              <w:ind w:right="4030" w:rightChars="1919"/>
              <w:jc w:val="center"/>
              <w:rPr>
                <w:rFonts w:ascii="宋体" w:hAnsi="宋体"/>
                <w:sz w:val="18"/>
                <w:szCs w:val="18"/>
              </w:rPr>
            </w:pPr>
          </w:p>
        </w:tc>
        <w:tc>
          <w:tcPr>
            <w:tcW w:w="1790" w:type="dxa"/>
            <w:tcBorders/>
            <w:vAlign w:val="center"/>
          </w:tcPr>
          <w:p>
            <w:pPr>
              <w:pStyle w:val="style0"/>
              <w:jc w:val="center"/>
              <w:rPr>
                <w:rFonts w:ascii="宋体" w:hAnsi="宋体"/>
                <w:sz w:val="18"/>
                <w:szCs w:val="18"/>
              </w:rPr>
            </w:pPr>
            <w:r>
              <w:rPr>
                <w:rFonts w:ascii="宋体" w:hAnsi="宋体" w:hint="eastAsia"/>
                <w:sz w:val="18"/>
                <w:szCs w:val="18"/>
              </w:rPr>
              <w:t>就读学院/工作单位</w:t>
            </w:r>
          </w:p>
        </w:tc>
        <w:tc>
          <w:tcPr>
            <w:tcW w:w="1764" w:type="dxa"/>
            <w:tcBorders/>
            <w:vAlign w:val="center"/>
          </w:tcPr>
          <w:p>
            <w:pPr>
              <w:pStyle w:val="style0"/>
              <w:jc w:val="center"/>
              <w:rPr>
                <w:rFonts w:ascii="宋体" w:hAnsi="宋体"/>
                <w:sz w:val="18"/>
                <w:szCs w:val="18"/>
              </w:rPr>
            </w:pPr>
          </w:p>
        </w:tc>
      </w:tr>
      <w:tr>
        <w:tblPrEx/>
        <w:trPr>
          <w:trHeight w:val="524" w:hRule="exact"/>
          <w:jc w:val="center"/>
        </w:trPr>
        <w:tc>
          <w:tcPr>
            <w:tcW w:w="1544" w:type="dxa"/>
            <w:vMerge w:val="continue"/>
            <w:tcBorders/>
            <w:vAlign w:val="center"/>
          </w:tcPr>
          <w:p>
            <w:pPr>
              <w:pStyle w:val="style0"/>
              <w:jc w:val="center"/>
              <w:rPr>
                <w:rFonts w:ascii="宋体" w:hAnsi="宋体"/>
                <w:sz w:val="18"/>
                <w:szCs w:val="18"/>
              </w:rPr>
            </w:pPr>
          </w:p>
        </w:tc>
        <w:tc>
          <w:tcPr>
            <w:tcW w:w="1159" w:type="dxa"/>
            <w:tcBorders/>
            <w:shd w:val="clear" w:color="auto" w:fill="auto"/>
            <w:vAlign w:val="center"/>
          </w:tcPr>
          <w:p>
            <w:pPr>
              <w:pStyle w:val="style0"/>
              <w:jc w:val="center"/>
              <w:rPr>
                <w:rFonts w:ascii="宋体" w:hAnsi="宋体"/>
                <w:sz w:val="18"/>
                <w:szCs w:val="18"/>
              </w:rPr>
            </w:pPr>
            <w:r>
              <w:rPr>
                <w:rFonts w:ascii="宋体" w:hAnsi="宋体" w:hint="eastAsia"/>
                <w:sz w:val="18"/>
                <w:szCs w:val="18"/>
              </w:rPr>
              <w:t>雅 思</w:t>
            </w:r>
          </w:p>
        </w:tc>
        <w:tc>
          <w:tcPr>
            <w:tcW w:w="2929" w:type="dxa"/>
            <w:gridSpan w:val="4"/>
            <w:tcBorders/>
            <w:shd w:val="clear" w:color="auto" w:fill="auto"/>
            <w:vAlign w:val="center"/>
          </w:tcPr>
          <w:p>
            <w:pPr>
              <w:pStyle w:val="style0"/>
              <w:jc w:val="center"/>
              <w:rPr>
                <w:rFonts w:ascii="宋体" w:hAnsi="宋体"/>
                <w:sz w:val="18"/>
                <w:szCs w:val="18"/>
              </w:rPr>
            </w:pPr>
          </w:p>
        </w:tc>
        <w:tc>
          <w:tcPr>
            <w:tcW w:w="1032" w:type="dxa"/>
            <w:vMerge w:val="continue"/>
            <w:tcBorders/>
            <w:vAlign w:val="center"/>
          </w:tcPr>
          <w:p>
            <w:pPr>
              <w:pStyle w:val="style0"/>
              <w:jc w:val="center"/>
              <w:rPr>
                <w:rFonts w:ascii="宋体" w:hAnsi="宋体"/>
                <w:sz w:val="18"/>
                <w:szCs w:val="18"/>
              </w:rPr>
            </w:pPr>
          </w:p>
        </w:tc>
        <w:tc>
          <w:tcPr>
            <w:tcW w:w="1790" w:type="dxa"/>
            <w:tcBorders/>
            <w:shd w:val="clear" w:color="auto" w:fill="auto"/>
            <w:vAlign w:val="center"/>
          </w:tcPr>
          <w:p>
            <w:pPr>
              <w:pStyle w:val="style0"/>
              <w:jc w:val="center"/>
              <w:rPr>
                <w:rFonts w:ascii="宋体" w:hAnsi="宋体"/>
                <w:sz w:val="18"/>
                <w:szCs w:val="18"/>
              </w:rPr>
            </w:pPr>
            <w:r>
              <w:rPr>
                <w:rFonts w:ascii="宋体" w:hAnsi="宋体" w:hint="eastAsia"/>
                <w:sz w:val="18"/>
                <w:szCs w:val="18"/>
              </w:rPr>
              <w:t>工作年限</w:t>
            </w:r>
          </w:p>
        </w:tc>
        <w:tc>
          <w:tcPr>
            <w:tcW w:w="1764" w:type="dxa"/>
            <w:tcBorders/>
            <w:vAlign w:val="center"/>
          </w:tcPr>
          <w:p>
            <w:pPr>
              <w:pStyle w:val="style0"/>
              <w:jc w:val="center"/>
              <w:rPr>
                <w:rFonts w:ascii="宋体" w:hAnsi="宋体"/>
                <w:sz w:val="18"/>
                <w:szCs w:val="18"/>
              </w:rPr>
            </w:pPr>
          </w:p>
        </w:tc>
      </w:tr>
      <w:tr>
        <w:tblPrEx/>
        <w:trPr>
          <w:trHeight w:val="524" w:hRule="exact"/>
          <w:jc w:val="center"/>
        </w:trPr>
        <w:tc>
          <w:tcPr>
            <w:tcW w:w="1544" w:type="dxa"/>
            <w:vMerge w:val="continue"/>
            <w:tcBorders/>
            <w:vAlign w:val="center"/>
          </w:tcPr>
          <w:p>
            <w:pPr>
              <w:pStyle w:val="style0"/>
              <w:jc w:val="center"/>
              <w:rPr>
                <w:rFonts w:ascii="宋体" w:hAnsi="宋体"/>
                <w:sz w:val="18"/>
                <w:szCs w:val="18"/>
              </w:rPr>
            </w:pPr>
          </w:p>
        </w:tc>
        <w:tc>
          <w:tcPr>
            <w:tcW w:w="1159" w:type="dxa"/>
            <w:tcBorders/>
            <w:shd w:val="clear" w:color="auto" w:fill="auto"/>
            <w:vAlign w:val="center"/>
          </w:tcPr>
          <w:p>
            <w:pPr>
              <w:pStyle w:val="style0"/>
              <w:jc w:val="center"/>
              <w:rPr>
                <w:rFonts w:ascii="宋体" w:hAnsi="宋体"/>
                <w:sz w:val="18"/>
                <w:szCs w:val="18"/>
              </w:rPr>
            </w:pPr>
            <w:r>
              <w:rPr>
                <w:rFonts w:ascii="宋体" w:hAnsi="宋体" w:hint="eastAsia"/>
                <w:sz w:val="18"/>
                <w:szCs w:val="18"/>
              </w:rPr>
              <w:t>多邻国</w:t>
            </w:r>
          </w:p>
        </w:tc>
        <w:tc>
          <w:tcPr>
            <w:tcW w:w="2929" w:type="dxa"/>
            <w:gridSpan w:val="4"/>
            <w:tcBorders/>
            <w:shd w:val="clear" w:color="auto" w:fill="auto"/>
            <w:vAlign w:val="center"/>
          </w:tcPr>
          <w:p>
            <w:pPr>
              <w:pStyle w:val="style0"/>
              <w:jc w:val="center"/>
              <w:rPr>
                <w:rFonts w:ascii="宋体" w:hAnsi="宋体"/>
                <w:sz w:val="18"/>
                <w:szCs w:val="18"/>
              </w:rPr>
            </w:pPr>
          </w:p>
        </w:tc>
        <w:tc>
          <w:tcPr>
            <w:tcW w:w="1032" w:type="dxa"/>
            <w:vMerge w:val="continue"/>
            <w:tcBorders/>
            <w:vAlign w:val="center"/>
          </w:tcPr>
          <w:p>
            <w:pPr>
              <w:pStyle w:val="style0"/>
              <w:jc w:val="center"/>
              <w:rPr>
                <w:rFonts w:ascii="宋体" w:hAnsi="宋体"/>
                <w:sz w:val="18"/>
                <w:szCs w:val="18"/>
              </w:rPr>
            </w:pPr>
          </w:p>
        </w:tc>
        <w:tc>
          <w:tcPr>
            <w:tcW w:w="1790" w:type="dxa"/>
            <w:vMerge w:val="restart"/>
            <w:tcBorders/>
            <w:shd w:val="clear" w:color="auto" w:fill="auto"/>
            <w:vAlign w:val="center"/>
          </w:tcPr>
          <w:p>
            <w:pPr>
              <w:pStyle w:val="style0"/>
              <w:jc w:val="center"/>
              <w:rPr>
                <w:rFonts w:ascii="宋体" w:hAnsi="宋体"/>
                <w:sz w:val="18"/>
                <w:szCs w:val="18"/>
              </w:rPr>
            </w:pPr>
            <w:r>
              <w:rPr>
                <w:rFonts w:ascii="宋体" w:hAnsi="宋体" w:hint="eastAsia"/>
                <w:sz w:val="18"/>
                <w:szCs w:val="18"/>
              </w:rPr>
              <w:t>有无国外学位证（如有填写具体大学）</w:t>
            </w:r>
          </w:p>
        </w:tc>
        <w:tc>
          <w:tcPr>
            <w:tcW w:w="1764" w:type="dxa"/>
            <w:vMerge w:val="restart"/>
            <w:tcBorders/>
            <w:vAlign w:val="center"/>
          </w:tcPr>
          <w:p>
            <w:pPr>
              <w:pStyle w:val="style0"/>
              <w:jc w:val="center"/>
              <w:rPr>
                <w:rFonts w:ascii="宋体" w:hAnsi="宋体"/>
                <w:sz w:val="18"/>
                <w:szCs w:val="18"/>
              </w:rPr>
            </w:pPr>
          </w:p>
        </w:tc>
      </w:tr>
      <w:tr>
        <w:tblPrEx/>
        <w:trPr>
          <w:trHeight w:val="524" w:hRule="exact"/>
          <w:jc w:val="center"/>
        </w:trPr>
        <w:tc>
          <w:tcPr>
            <w:tcW w:w="1544" w:type="dxa"/>
            <w:vMerge w:val="continue"/>
            <w:tcBorders/>
            <w:vAlign w:val="center"/>
          </w:tcPr>
          <w:p>
            <w:pPr>
              <w:pStyle w:val="style0"/>
              <w:jc w:val="center"/>
              <w:rPr>
                <w:rFonts w:ascii="宋体" w:hAnsi="宋体"/>
                <w:sz w:val="18"/>
                <w:szCs w:val="18"/>
              </w:rPr>
            </w:pPr>
          </w:p>
        </w:tc>
        <w:tc>
          <w:tcPr>
            <w:tcW w:w="1159" w:type="dxa"/>
            <w:tcBorders/>
            <w:shd w:val="clear" w:color="auto" w:fill="auto"/>
            <w:vAlign w:val="center"/>
          </w:tcPr>
          <w:p>
            <w:pPr>
              <w:pStyle w:val="style0"/>
              <w:jc w:val="center"/>
              <w:rPr>
                <w:rFonts w:ascii="宋体" w:eastAsia="宋体" w:hAnsi="宋体" w:hint="default"/>
                <w:sz w:val="18"/>
                <w:szCs w:val="18"/>
                <w:lang w:val="en-US" w:eastAsia="zh-CN"/>
              </w:rPr>
            </w:pPr>
            <w:r>
              <w:rPr>
                <w:rFonts w:ascii="宋体" w:hAnsi="宋体" w:hint="eastAsia"/>
                <w:sz w:val="18"/>
                <w:szCs w:val="18"/>
                <w:lang w:val="en-US" w:eastAsia="zh-CN"/>
              </w:rPr>
              <w:t>PTE学术</w:t>
            </w:r>
          </w:p>
        </w:tc>
        <w:tc>
          <w:tcPr>
            <w:tcW w:w="2929" w:type="dxa"/>
            <w:gridSpan w:val="4"/>
            <w:tcBorders/>
            <w:shd w:val="clear" w:color="auto" w:fill="auto"/>
            <w:vAlign w:val="center"/>
          </w:tcPr>
          <w:p>
            <w:pPr>
              <w:pStyle w:val="style0"/>
              <w:jc w:val="center"/>
              <w:rPr>
                <w:rFonts w:ascii="宋体" w:hAnsi="宋体"/>
                <w:sz w:val="18"/>
                <w:szCs w:val="18"/>
              </w:rPr>
            </w:pPr>
          </w:p>
        </w:tc>
        <w:tc>
          <w:tcPr>
            <w:tcW w:w="1032" w:type="dxa"/>
            <w:vMerge w:val="continue"/>
            <w:tcBorders/>
            <w:vAlign w:val="center"/>
          </w:tcPr>
          <w:p>
            <w:pPr>
              <w:pStyle w:val="style0"/>
              <w:jc w:val="center"/>
              <w:rPr>
                <w:rFonts w:ascii="宋体" w:hAnsi="宋体"/>
                <w:sz w:val="18"/>
                <w:szCs w:val="18"/>
              </w:rPr>
            </w:pPr>
          </w:p>
        </w:tc>
        <w:tc>
          <w:tcPr>
            <w:tcW w:w="1790" w:type="dxa"/>
            <w:vMerge w:val="continue"/>
            <w:tcBorders/>
            <w:shd w:val="clear" w:color="auto" w:fill="auto"/>
            <w:vAlign w:val="center"/>
          </w:tcPr>
          <w:p>
            <w:pPr>
              <w:pStyle w:val="style0"/>
              <w:jc w:val="center"/>
              <w:rPr>
                <w:rFonts w:ascii="宋体" w:hAnsi="宋体" w:hint="eastAsia"/>
                <w:sz w:val="18"/>
                <w:szCs w:val="18"/>
              </w:rPr>
            </w:pPr>
          </w:p>
        </w:tc>
        <w:tc>
          <w:tcPr>
            <w:tcW w:w="1764" w:type="dxa"/>
            <w:vMerge w:val="continue"/>
            <w:tcBorders/>
            <w:vAlign w:val="center"/>
          </w:tcPr>
          <w:p>
            <w:pPr>
              <w:pStyle w:val="style0"/>
              <w:jc w:val="center"/>
              <w:rPr>
                <w:rFonts w:ascii="宋体" w:hAnsi="宋体"/>
                <w:sz w:val="18"/>
                <w:szCs w:val="18"/>
              </w:rPr>
            </w:pPr>
          </w:p>
        </w:tc>
      </w:tr>
      <w:tr>
        <w:tblPrEx/>
        <w:trPr>
          <w:trHeight w:val="524" w:hRule="exact"/>
          <w:jc w:val="center"/>
        </w:trPr>
        <w:tc>
          <w:tcPr>
            <w:tcW w:w="1544" w:type="dxa"/>
            <w:vMerge w:val="continue"/>
            <w:tcBorders/>
            <w:vAlign w:val="center"/>
          </w:tcPr>
          <w:p>
            <w:pPr>
              <w:pStyle w:val="style0"/>
              <w:jc w:val="center"/>
              <w:rPr>
                <w:rFonts w:ascii="宋体" w:hAnsi="宋体"/>
                <w:sz w:val="18"/>
                <w:szCs w:val="18"/>
              </w:rPr>
            </w:pPr>
          </w:p>
        </w:tc>
        <w:tc>
          <w:tcPr>
            <w:tcW w:w="1159" w:type="dxa"/>
            <w:vMerge w:val="restart"/>
            <w:tcBorders/>
            <w:shd w:val="clear" w:color="auto" w:fill="auto"/>
            <w:vAlign w:val="center"/>
          </w:tcPr>
          <w:p>
            <w:pPr>
              <w:pStyle w:val="style0"/>
              <w:jc w:val="center"/>
              <w:rPr>
                <w:rFonts w:ascii="宋体" w:hAnsi="宋体"/>
                <w:sz w:val="18"/>
                <w:szCs w:val="18"/>
              </w:rPr>
            </w:pPr>
            <w:r>
              <w:rPr>
                <w:rFonts w:ascii="宋体" w:hAnsi="宋体" w:hint="eastAsia"/>
                <w:sz w:val="18"/>
                <w:szCs w:val="18"/>
              </w:rPr>
              <w:t>GMAT/GRE</w:t>
            </w:r>
          </w:p>
        </w:tc>
        <w:tc>
          <w:tcPr>
            <w:tcW w:w="963" w:type="dxa"/>
            <w:gridSpan w:val="2"/>
            <w:tcBorders/>
            <w:shd w:val="clear" w:color="auto" w:fill="auto"/>
            <w:vAlign w:val="center"/>
          </w:tcPr>
          <w:p>
            <w:pPr>
              <w:pStyle w:val="style0"/>
              <w:jc w:val="center"/>
              <w:rPr>
                <w:rFonts w:ascii="宋体" w:hAnsi="宋体"/>
                <w:sz w:val="18"/>
                <w:szCs w:val="18"/>
              </w:rPr>
            </w:pPr>
            <w:r>
              <w:rPr>
                <w:rFonts w:ascii="宋体" w:hAnsi="宋体" w:hint="eastAsia"/>
                <w:sz w:val="18"/>
                <w:szCs w:val="18"/>
              </w:rPr>
              <w:t>总 分</w:t>
            </w:r>
          </w:p>
        </w:tc>
        <w:tc>
          <w:tcPr>
            <w:tcW w:w="1104" w:type="dxa"/>
            <w:tcBorders/>
            <w:shd w:val="clear" w:color="auto" w:fill="auto"/>
            <w:vAlign w:val="center"/>
          </w:tcPr>
          <w:p>
            <w:pPr>
              <w:pStyle w:val="style0"/>
              <w:jc w:val="center"/>
              <w:rPr>
                <w:rFonts w:ascii="宋体" w:hAnsi="宋体"/>
                <w:sz w:val="18"/>
                <w:szCs w:val="18"/>
              </w:rPr>
            </w:pPr>
            <w:r>
              <w:rPr>
                <w:rFonts w:ascii="宋体" w:cs="宋体" w:hAnsi="宋体" w:hint="eastAsia"/>
                <w:kern w:val="0"/>
                <w:sz w:val="18"/>
                <w:szCs w:val="18"/>
              </w:rPr>
              <w:t>语文</w:t>
            </w:r>
          </w:p>
        </w:tc>
        <w:tc>
          <w:tcPr>
            <w:tcW w:w="862" w:type="dxa"/>
            <w:tcBorders/>
            <w:shd w:val="clear" w:color="auto" w:fill="auto"/>
            <w:vAlign w:val="center"/>
          </w:tcPr>
          <w:p>
            <w:pPr>
              <w:pStyle w:val="style0"/>
              <w:jc w:val="center"/>
              <w:rPr>
                <w:rFonts w:ascii="宋体" w:hAnsi="宋体"/>
                <w:sz w:val="18"/>
                <w:szCs w:val="18"/>
              </w:rPr>
            </w:pPr>
            <w:r>
              <w:rPr>
                <w:rFonts w:ascii="宋体" w:cs="宋体" w:hAnsi="宋体" w:hint="eastAsia"/>
                <w:kern w:val="0"/>
                <w:sz w:val="18"/>
                <w:szCs w:val="18"/>
              </w:rPr>
              <w:t>数学</w:t>
            </w:r>
          </w:p>
        </w:tc>
        <w:tc>
          <w:tcPr>
            <w:tcW w:w="1032" w:type="dxa"/>
            <w:vMerge w:val="continue"/>
            <w:tcBorders/>
            <w:vAlign w:val="center"/>
          </w:tcPr>
          <w:p>
            <w:pPr>
              <w:pStyle w:val="style0"/>
              <w:jc w:val="center"/>
              <w:rPr>
                <w:rFonts w:ascii="宋体" w:hAnsi="宋体"/>
                <w:sz w:val="18"/>
                <w:szCs w:val="18"/>
              </w:rPr>
            </w:pPr>
          </w:p>
        </w:tc>
        <w:tc>
          <w:tcPr>
            <w:tcW w:w="1790" w:type="dxa"/>
            <w:vMerge w:val="continue"/>
            <w:tcBorders/>
            <w:shd w:val="clear" w:color="auto" w:fill="auto"/>
            <w:vAlign w:val="center"/>
          </w:tcPr>
          <w:p>
            <w:pPr>
              <w:pStyle w:val="style0"/>
              <w:rPr>
                <w:rFonts w:ascii="宋体" w:hAnsi="宋体"/>
                <w:sz w:val="18"/>
                <w:szCs w:val="18"/>
              </w:rPr>
            </w:pPr>
          </w:p>
        </w:tc>
        <w:tc>
          <w:tcPr>
            <w:tcW w:w="1764" w:type="dxa"/>
            <w:vMerge w:val="continue"/>
            <w:tcBorders/>
            <w:vAlign w:val="center"/>
          </w:tcPr>
          <w:p>
            <w:pPr>
              <w:pStyle w:val="style0"/>
              <w:jc w:val="center"/>
              <w:rPr>
                <w:rFonts w:ascii="宋体" w:hAnsi="宋体"/>
                <w:sz w:val="18"/>
                <w:szCs w:val="18"/>
              </w:rPr>
            </w:pPr>
          </w:p>
        </w:tc>
      </w:tr>
      <w:tr>
        <w:tblPrEx/>
        <w:trPr>
          <w:trHeight w:val="524" w:hRule="exact"/>
          <w:jc w:val="center"/>
        </w:trPr>
        <w:tc>
          <w:tcPr>
            <w:tcW w:w="1544" w:type="dxa"/>
            <w:vMerge w:val="continue"/>
            <w:tcBorders/>
            <w:vAlign w:val="center"/>
          </w:tcPr>
          <w:p>
            <w:pPr>
              <w:pStyle w:val="style0"/>
              <w:jc w:val="center"/>
              <w:rPr>
                <w:rFonts w:ascii="宋体" w:hAnsi="宋体"/>
                <w:sz w:val="18"/>
                <w:szCs w:val="18"/>
              </w:rPr>
            </w:pPr>
          </w:p>
        </w:tc>
        <w:tc>
          <w:tcPr>
            <w:tcW w:w="1159" w:type="dxa"/>
            <w:vMerge w:val="continue"/>
            <w:tcBorders/>
            <w:shd w:val="clear" w:color="auto" w:fill="auto"/>
            <w:vAlign w:val="center"/>
          </w:tcPr>
          <w:p>
            <w:pPr>
              <w:pStyle w:val="style0"/>
              <w:jc w:val="center"/>
              <w:rPr>
                <w:rFonts w:ascii="宋体" w:hAnsi="宋体"/>
                <w:sz w:val="18"/>
                <w:szCs w:val="18"/>
              </w:rPr>
            </w:pPr>
          </w:p>
        </w:tc>
        <w:tc>
          <w:tcPr>
            <w:tcW w:w="963" w:type="dxa"/>
            <w:gridSpan w:val="2"/>
            <w:tcBorders/>
            <w:shd w:val="clear" w:color="auto" w:fill="auto"/>
            <w:vAlign w:val="center"/>
          </w:tcPr>
          <w:p>
            <w:pPr>
              <w:pStyle w:val="style0"/>
              <w:jc w:val="center"/>
              <w:rPr>
                <w:rFonts w:ascii="宋体" w:hAnsi="宋体"/>
                <w:sz w:val="18"/>
                <w:szCs w:val="18"/>
              </w:rPr>
            </w:pPr>
          </w:p>
        </w:tc>
        <w:tc>
          <w:tcPr>
            <w:tcW w:w="1104" w:type="dxa"/>
            <w:tcBorders/>
            <w:shd w:val="clear" w:color="auto" w:fill="auto"/>
            <w:vAlign w:val="center"/>
          </w:tcPr>
          <w:p>
            <w:pPr>
              <w:pStyle w:val="style0"/>
              <w:jc w:val="center"/>
              <w:rPr>
                <w:rFonts w:ascii="宋体" w:hAnsi="宋体"/>
                <w:sz w:val="18"/>
                <w:szCs w:val="18"/>
              </w:rPr>
            </w:pPr>
          </w:p>
        </w:tc>
        <w:tc>
          <w:tcPr>
            <w:tcW w:w="862" w:type="dxa"/>
            <w:tcBorders/>
            <w:shd w:val="clear" w:color="auto" w:fill="auto"/>
            <w:vAlign w:val="center"/>
          </w:tcPr>
          <w:p>
            <w:pPr>
              <w:pStyle w:val="style0"/>
              <w:jc w:val="center"/>
              <w:rPr>
                <w:rFonts w:ascii="宋体" w:hAnsi="宋体"/>
                <w:sz w:val="18"/>
                <w:szCs w:val="18"/>
              </w:rPr>
            </w:pPr>
          </w:p>
        </w:tc>
        <w:tc>
          <w:tcPr>
            <w:tcW w:w="1032" w:type="dxa"/>
            <w:vMerge w:val="continue"/>
            <w:tcBorders/>
            <w:vAlign w:val="center"/>
          </w:tcPr>
          <w:p>
            <w:pPr>
              <w:pStyle w:val="style0"/>
              <w:jc w:val="center"/>
              <w:rPr>
                <w:rFonts w:ascii="宋体" w:hAnsi="宋体"/>
                <w:sz w:val="18"/>
                <w:szCs w:val="18"/>
              </w:rPr>
            </w:pPr>
          </w:p>
        </w:tc>
        <w:tc>
          <w:tcPr>
            <w:tcW w:w="1790" w:type="dxa"/>
            <w:vMerge w:val="continue"/>
            <w:tcBorders/>
            <w:shd w:val="clear" w:color="auto" w:fill="auto"/>
            <w:vAlign w:val="center"/>
          </w:tcPr>
          <w:p>
            <w:pPr>
              <w:pStyle w:val="style0"/>
              <w:jc w:val="center"/>
              <w:rPr>
                <w:rFonts w:ascii="宋体" w:hAnsi="宋体"/>
                <w:sz w:val="18"/>
                <w:szCs w:val="18"/>
              </w:rPr>
            </w:pPr>
          </w:p>
        </w:tc>
        <w:tc>
          <w:tcPr>
            <w:tcW w:w="1764" w:type="dxa"/>
            <w:vMerge w:val="continue"/>
            <w:tcBorders/>
            <w:vAlign w:val="center"/>
          </w:tcPr>
          <w:p>
            <w:pPr>
              <w:pStyle w:val="style0"/>
              <w:jc w:val="center"/>
              <w:rPr>
                <w:rFonts w:ascii="宋体" w:hAnsi="宋体"/>
                <w:sz w:val="18"/>
                <w:szCs w:val="18"/>
              </w:rPr>
            </w:pPr>
          </w:p>
        </w:tc>
      </w:tr>
      <w:tr>
        <w:tblPrEx/>
        <w:trPr>
          <w:trHeight w:val="549" w:hRule="exact"/>
          <w:jc w:val="center"/>
        </w:trPr>
        <w:tc>
          <w:tcPr>
            <w:tcW w:w="4770" w:type="dxa"/>
            <w:gridSpan w:val="5"/>
            <w:tcBorders/>
            <w:vAlign w:val="center"/>
          </w:tcPr>
          <w:p>
            <w:pPr>
              <w:pStyle w:val="style0"/>
              <w:jc w:val="center"/>
              <w:rPr>
                <w:rFonts w:ascii="宋体" w:hAnsi="宋体"/>
                <w:sz w:val="18"/>
                <w:szCs w:val="18"/>
              </w:rPr>
            </w:pPr>
            <w:r>
              <w:rPr>
                <w:rFonts w:ascii="宋体" w:hAnsi="宋体" w:hint="eastAsia"/>
                <w:sz w:val="18"/>
                <w:szCs w:val="18"/>
              </w:rPr>
              <w:t>通过何种途径了解到此项目</w:t>
            </w:r>
          </w:p>
        </w:tc>
        <w:tc>
          <w:tcPr>
            <w:tcW w:w="5448" w:type="dxa"/>
            <w:gridSpan w:val="4"/>
            <w:tcBorders/>
            <w:shd w:val="clear" w:color="auto" w:fill="auto"/>
            <w:vAlign w:val="center"/>
          </w:tcPr>
          <w:p>
            <w:pPr>
              <w:pStyle w:val="style0"/>
              <w:jc w:val="center"/>
              <w:rPr>
                <w:rFonts w:ascii="宋体" w:hAnsi="宋体"/>
                <w:sz w:val="18"/>
                <w:szCs w:val="18"/>
              </w:rPr>
            </w:pPr>
          </w:p>
        </w:tc>
      </w:tr>
      <w:tr>
        <w:tblPrEx/>
        <w:trPr>
          <w:trHeight w:val="684" w:hRule="exact"/>
          <w:jc w:val="center"/>
        </w:trPr>
        <w:tc>
          <w:tcPr>
            <w:tcW w:w="1544" w:type="dxa"/>
            <w:tcBorders/>
            <w:vAlign w:val="center"/>
          </w:tcPr>
          <w:p>
            <w:pPr>
              <w:pStyle w:val="style0"/>
              <w:jc w:val="center"/>
              <w:rPr>
                <w:rFonts w:ascii="宋体" w:hAnsi="宋体"/>
                <w:sz w:val="18"/>
                <w:szCs w:val="18"/>
              </w:rPr>
            </w:pPr>
            <w:r>
              <w:rPr>
                <w:rFonts w:ascii="宋体" w:hAnsi="宋体" w:hint="eastAsia"/>
                <w:sz w:val="18"/>
                <w:szCs w:val="18"/>
              </w:rPr>
              <w:t>备   注</w:t>
            </w:r>
          </w:p>
        </w:tc>
        <w:tc>
          <w:tcPr>
            <w:tcW w:w="8674" w:type="dxa"/>
            <w:gridSpan w:val="8"/>
            <w:tcBorders/>
            <w:shd w:val="clear" w:color="auto" w:fill="auto"/>
            <w:vAlign w:val="center"/>
          </w:tcPr>
          <w:p>
            <w:pPr>
              <w:pStyle w:val="style0"/>
              <w:jc w:val="center"/>
              <w:rPr>
                <w:rFonts w:ascii="宋体" w:hAnsi="宋体"/>
                <w:sz w:val="18"/>
                <w:szCs w:val="18"/>
              </w:rPr>
            </w:pPr>
          </w:p>
        </w:tc>
      </w:tr>
    </w:tbl>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hint="default"/>
          <w:color w:val="auto"/>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color w:val="auto"/>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19037AA1"/>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Times New Roman" w:eastAsia="宋体" w:hAnsi="Calibri"/>
      <w:kern w:val="2"/>
      <w:sz w:val="21"/>
      <w:szCs w:val="21"/>
      <w:lang w:val="en-US" w:bidi="ar-SA" w:eastAsia="zh-CN"/>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32">
    <w:name w:val="footer"/>
    <w:basedOn w:val="style0"/>
    <w:next w:val="style32"/>
    <w:link w:val="style4101"/>
    <w:qFormat/>
    <w:uiPriority w:val="0"/>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100"/>
    <w:qFormat/>
    <w:uiPriority w:val="0"/>
    <w:pPr>
      <w:pBdr>
        <w:bottom w:val="single" w:sz="6" w:space="1" w:color="auto"/>
      </w:pBdr>
      <w:tabs>
        <w:tab w:val="center" w:leader="none" w:pos="4153"/>
        <w:tab w:val="right" w:leader="none" w:pos="8306"/>
      </w:tabs>
      <w:snapToGrid w:val="false"/>
      <w:jc w:val="center"/>
    </w:pPr>
    <w:rPr>
      <w:sz w:val="18"/>
      <w:szCs w:val="18"/>
    </w:rPr>
  </w:style>
  <w:style w:type="paragraph" w:styleId="style94">
    <w:name w:val="Normal (Web)"/>
    <w:basedOn w:val="style0"/>
    <w:next w:val="style94"/>
    <w:qFormat/>
    <w:uiPriority w:val="99"/>
    <w:pPr>
      <w:spacing w:before="100" w:beforeAutospacing="true" w:after="100" w:afterAutospacing="true"/>
      <w:jc w:val="left"/>
    </w:pPr>
    <w:rPr>
      <w:kern w:val="0"/>
      <w:sz w:val="24"/>
      <w:szCs w:val="24"/>
    </w:rPr>
  </w:style>
  <w:style w:type="character" w:styleId="style85">
    <w:name w:val="Hyperlink"/>
    <w:basedOn w:val="style65"/>
    <w:next w:val="style85"/>
    <w:qFormat/>
    <w:uiPriority w:val="99"/>
    <w:rPr>
      <w:color w:val="0000ff"/>
      <w:u w:val="single"/>
    </w:rPr>
  </w:style>
  <w:style w:type="character" w:customStyle="1" w:styleId="style4097">
    <w:name w:val="16"/>
    <w:basedOn w:val="style65"/>
    <w:next w:val="style4097"/>
    <w:qFormat/>
    <w:uiPriority w:val="0"/>
    <w:rPr>
      <w:rFonts w:ascii="Calibri" w:hAnsi="Calibri" w:hint="default"/>
      <w:b/>
      <w:bCs/>
    </w:rPr>
  </w:style>
  <w:style w:type="character" w:customStyle="1" w:styleId="style4098">
    <w:name w:val="15"/>
    <w:basedOn w:val="style65"/>
    <w:next w:val="style4098"/>
    <w:qFormat/>
    <w:uiPriority w:val="0"/>
    <w:rPr>
      <w:rFonts w:ascii="Calibri" w:hAnsi="Calibri" w:hint="default"/>
      <w:color w:val="338de6"/>
    </w:rPr>
  </w:style>
  <w:style w:type="paragraph" w:customStyle="1" w:styleId="style4099">
    <w:name w:val="msolistparagraph"/>
    <w:basedOn w:val="style0"/>
    <w:next w:val="style4099"/>
    <w:qFormat/>
    <w:uiPriority w:val="0"/>
    <w:pPr>
      <w:ind w:firstLine="420" w:firstLineChars="200"/>
    </w:pPr>
    <w:rPr/>
  </w:style>
  <w:style w:type="character" w:customStyle="1" w:styleId="style4100">
    <w:name w:val="页眉 字符"/>
    <w:basedOn w:val="style65"/>
    <w:next w:val="style4100"/>
    <w:link w:val="style31"/>
    <w:qFormat/>
    <w:uiPriority w:val="0"/>
    <w:rPr>
      <w:rFonts w:ascii="Calibri" w:hAnsi="Calibri"/>
      <w:kern w:val="2"/>
      <w:sz w:val="18"/>
      <w:szCs w:val="18"/>
    </w:rPr>
  </w:style>
  <w:style w:type="character" w:customStyle="1" w:styleId="style4101">
    <w:name w:val="页脚 字符"/>
    <w:basedOn w:val="style65"/>
    <w:next w:val="style4101"/>
    <w:link w:val="style32"/>
    <w:qFormat/>
    <w:uiPriority w:val="0"/>
    <w:rPr>
      <w:rFonts w:ascii="Calibri" w:hAnsi="Calibri"/>
      <w:kern w:val="2"/>
      <w:sz w:val="18"/>
      <w:szCs w:val="18"/>
    </w:rPr>
  </w:style>
  <w:style w:type="character" w:customStyle="1" w:styleId="style4102">
    <w:name w:val="未处理的提及1"/>
    <w:basedOn w:val="style65"/>
    <w:next w:val="style4102"/>
    <w:qFormat/>
    <w:uiPriority w:val="99"/>
    <w:rPr>
      <w:color w:val="605e5c"/>
      <w:shd w:val="clear" w:color="auto" w:fill="e1dfdd"/>
    </w:rPr>
  </w:style>
  <w:style w:type="character" w:customStyle="1" w:styleId="style4103">
    <w:name w:val="Unresolved Mention"/>
    <w:basedOn w:val="style65"/>
    <w:next w:val="style4103"/>
    <w:qFormat/>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Words>2298</Words>
  <Pages>4</Pages>
  <Characters>2960</Characters>
  <Application>WPS Office</Application>
  <DocSecurity>0</DocSecurity>
  <Paragraphs>191</Paragraphs>
  <ScaleCrop>false</ScaleCrop>
  <LinksUpToDate>false</LinksUpToDate>
  <CharactersWithSpaces>3056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2021-02-26T01:50:00Z</dcterms:created>
  <dc:creator>Administrator</dc:creator>
  <lastModifiedBy>HRY-AL00</lastModifiedBy>
  <dcterms:modified xsi:type="dcterms:W3CDTF">2021-11-15T13:31:25Z</dcterms:modified>
  <revision>15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2F8A18D97DF040638CDFB3503D1228A9</vt:lpwstr>
  </property>
</Properties>
</file>